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https://www.autoritedelaconcurrence.fr/fr/decision-de-controle-des-concentrations/relative-la-prise-de-controle-exclusif-du-groupe-perl-par</w:t>
      </w:r>
    </w:p>
    <w:p>
      <w:r>
        <w:t>Pages translated : 6</w:t>
      </w:r>
    </w:p>
    <w:p/>
    <w:p>
      <w:r>
        <w:rPr>
          <w:b/>
        </w:rPr>
        <w:t>[Pages 1–3]</w:t>
      </w:r>
    </w:p>
    <w:p>
      <w:r>
        <w:t xml:space="preserve">FRENCH REPUBLIC  </w:t>
        <w:br/>
        <w:t xml:space="preserve">Decision No. 14-DCC-68 of May 20, 2014  </w:t>
        <w:br/>
        <w:t xml:space="preserve">regarding the exclusive control of the PERL group  </w:t>
        <w:br/>
        <w:t xml:space="preserve">by the Nexity group (BPCE group)  </w:t>
        <w:br/>
        <w:t xml:space="preserve">The Competition Authority,  </w:t>
        <w:br/>
        <w:t xml:space="preserve">Having regard to the notification file submitted in full to the merger service on April 11, 2014,  </w:t>
        <w:br/>
        <w:t xml:space="preserve">regarding the exclusive control of the PERL group by Nexity SA, formalized by  </w:t>
        <w:br/>
        <w:t xml:space="preserve">an acquisition contract dated March 14, 2014;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Nexity SA (hereinafter "Nexity") is the parent company of the Nexity group active in the sectors  </w:t>
        <w:br/>
        <w:t xml:space="preserve">of real estate development and services in France and Europe. The Nexity group is  </w:t>
        <w:br/>
        <w:t xml:space="preserve">notably active in the sector of real estate services for individuals and professionals (rental management,  </w:t>
        <w:br/>
        <w:t xml:space="preserve">property management, management of student residences, management of purchase/sale and rental transactions,  </w:t>
        <w:br/>
        <w:t xml:space="preserve">consulting and property management, and brokerage in real estate insurance) through its subsidiaries and two  </w:t>
        <w:br/>
        <w:t xml:space="preserve">franchise networks, Century 21 and Guy Hoquet. Nexity SA is controlled by the Banque Populaire Caisse d’Épargne group1 (hereinafter "BPCE"), which carries out all banking and insurance activities.  </w:t>
        <w:br/>
        <w:t xml:space="preserve">2. PERL is a simplified joint-stock company active in the sector of dismemberment of ownership (usufruct and bare ownership) in the residential real estate sector. Its activity consists of identifying and acquiring new residential real estate assets (mainly  </w:t>
        <w:br/>
        <w:t xml:space="preserve">programs for the sale in the future state of completion), enhancing them through a dismemberment operation, and then reselling the rights resulting from this dismemberment. PERL is active in numerous urban areas in France thanks to its four local establishments located in Paris, Bordeaux, Nice, and Lyon. PERL also engages in a marginal activity of buying/selling existing properties, which involves purchasing in bulk the bare ownership of real estate from institutional owners, with the usufruct being retained or acquired simultaneously by social landlords and the bare ownership being resold in lots to private investors.  </w:t>
        <w:br/>
        <w:t xml:space="preserve">3. The notified operation consists of the acquisition by Nexity SA of 76.43% of the shares of PERL. As it results in the exclusive control of PERL by Nexity SA, the notified operation constitutes a concentration operation within the meaning of Article L. 430-1 of the Commercial Code.  </w:t>
        <w:br/>
        <w:t xml:space="preserve">4. The companies concerned have together achieved a consolidated turnover excluding taxes on a global scale of more than 150 million euros in the last closed financial year (BPCE: 49.9 billion euros for the financial year closed on December 31, 2013; PERL Group: […] euros for the financial year closed on March 31, 2013). Each of these companies has achieved, in France, a turnover exceeding 50 million euros (BPCE: 44.1 billion euros for the financial year closed on December 31, 2013; PERL Group: […] euros for the financial year closed on March 31, 2013).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5. The parties to the operation are simultaneously present in the sector of real estate services aimed at individuals.  </w:t>
        <w:br/>
        <w:t xml:space="preserve">A. THE MARKETS FOR REAL ESTATE SERVICES  </w:t>
        <w:br/>
        <w:t xml:space="preserve">6. National2 and European3 decision-making practice has considered, while leaving the question open,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  </w:t>
        <w:br/>
        <w:t xml:space="preserve">7. Regarding segmentation according to the nature of the services or goods offered, decision-making practice4 has considered distinguishing:  </w:t>
        <w:br/>
        <w:t xml:space="preserve">- real estate development, which includes construction and sale activities of real estate properties;  </w:t>
        <w:br/>
        <w:t xml:space="preserve">- management of real estate assets for own account;  </w:t>
        <w:br/>
        <w:t xml:space="preserve">- management of real estate assets for third-party account;  </w:t>
        <w:br/>
        <w:t xml:space="preserve">- administration of real estate properties, which covers the management activities of buildings on behalf of owners and can be segmented between rental management and co-ownership management;  </w:t>
        <w:br/>
        <w:t xml:space="preserve">- real estate appraisal;  </w:t>
        <w:br/>
        <w:t xml:space="preserve">- real estate consulting;  </w:t>
        <w:br/>
        <w:t xml:space="preserve">- intermediation in real estate transactions, where intermediation in purchase/sale operations is distinguished from intermediation in rental operations.  </w:t>
        <w:br/>
        <w:t xml:space="preserve">8. In this case, PERL sells residential properties with a dismemberment of ownership: it transfers the usufruct to social landlords and the bare ownership to private investors who regain full ownership at the end of a period of 10, 15, or 20 years. This technique allows social landlords to finance additional social rental housing by mobilizing the savings of individuals.  </w:t>
        <w:br/>
        <w:t xml:space="preserve">9. The notifying party considers that given this indivision of ownership, PERL is active in the market for the sale of social housing aimed at social landlords and in the market for the sale of new real estate aimed at private investor individuals. It indicates in this regard that decision-making practice has been led to consider a finer segmentation of the market aimed at individuals as investors, notably for tax reasons5.  </w:t>
        <w:br/>
        <w:t xml:space="preserve">10. Nexity engages in a classic activity of promoting social housing, which consists of constructing and selling the full ownership of real estate programs to social landlords, most often through a sale contract in the future state of completion (hereinafter "VEFA").  </w:t>
        <w:br/>
        <w:t xml:space="preserve">11. The notifying party acknowledges, however, that from the demand perspective, the real estate products offered by Nexity and PERL compete in the market for the sale of new real estate aimed at private individual investors. The notifying party has therefore communicated an estimate of the market shares of the parties in the market for the sale of housing aimed at social landlords as well as in the market for the sale of new real estate aimed at private individual investors.  </w:t>
        <w:br/>
        <w:t xml:space="preserve">12. The question of the exact delimitation of the markets concerned by this operation can, however, be left open, as the conclusions of the competitive analysis remain unchanged regardless of the delimitations retained.  </w:t>
        <w:br/>
        <w:t xml:space="preserve">B. THE GEOGRAPHICAL MARKETS  </w:t>
        <w:br/>
        <w:t xml:space="preserve">13. Decision-making practice considers that most real estate services markets are of sub-national dimension, while leaving the question open. Regarding Ile-de-France, the  </w:t>
        <w:br/>
        <w:t>5 See decision C2007-67 / Letter from the Minister of Economy, Finance and Employment of June 18, 2007, to the advisors of Icade Capri, regarding a concentration in the real estate development sector, published in BOCCRF No. 7 bis of September 14, 2007.</w:t>
      </w:r>
    </w:p>
    <w:p>
      <w:r>
        <w:rPr>
          <w:b/>
        </w:rPr>
        <w:t>[Pages 4–6]</w:t>
      </w:r>
    </w:p>
    <w:p>
      <w:r>
        <w:t xml:space="preserve">decision-making practice6 noted that "the Paris region has particular properties of continuity of urban areas. Indeed, there is a vast, highly urbanized, and homogeneous area covering most of the Ile-de-France, served by a comprehensive transport network; residents are always able to arbitrate between different parts of the region. This substitutability leads to a convergence in prices. Therefore, the regional level is the most appropriate for competitive analysis." For other regions, competition authorities have conducted their competitive analyses at the regional or sub-regional level. They have thus examined the effects of an operation at the level of cities, the urban area, the department, or the region7.  </w:t>
        <w:br/>
        <w:t xml:space="preserve">14. In this case, the notifying party considers that the market for the sale of housing intended for social landlords can be regarded as being of national or sub-national dimension, as negotiations with social landlords are generally conducted at the local level. Furthermore, Nexity and PERL have local establishments allowing them to be present throughout the territory with respect to social landlords. The notifying party has thus provided an estimate of market shares in the areas where the activities of Nexity and PERL regarding the sale of real estate programs to social landlords overlap, at the level of the agglomerations (namely Lyon, Nancy, Bayonne, and Rouen), at the departmental level (namely Ain (01), Alpes-Maritimes (06), Calvados (14), Charente-Maritime (17), Ille-et-Vilaine (35), Var (83), Hauts-de-Seine (92), and Val-de-Marne (94)) as well as at the regional level (Ile-de-France, Provence-Alpes-Côte-D’azur, and Rhône-Alpes). It also provided an estimate of its market share at the national level.  </w:t>
        <w:br/>
        <w:t xml:space="preserve">15. Regarding the geographical dimension of the market for the sale of new real estate to individual investors, the parties to the operation consider it to be of national dimension because in terms of real estate savings, the investment criteria of individual savers would not be linked to the proximity of the asset's location but to its qualities and its appreciation prospects.  </w:t>
        <w:br/>
        <w:t xml:space="preserve">16. In any case, the question of the exact delimitation of the geographical markets of these real estate sectors will be left open as the conclusions of the competitive analysis would remain unchanged regardless of the solutions adopted.  </w:t>
        <w:br/>
        <w:t xml:space="preserve">III. Competitive Analysis  </w:t>
        <w:br/>
        <w:t xml:space="preserve">A. THE MARKET FOR THE SALE OF NEW REAL ESTATE PROGRAMS INTENDED FOR SOCIAL LANDLORDS  </w:t>
        <w:br/>
        <w:t xml:space="preserve">17. Generally, the operation leads to limited overlaps in activity, both at the national level, where the market share of the new entity is estimated at [0-5]%, and at the regional level, with cumulative market shares of around [5-10]% in Ile-de-France, [0-5]% in Rhône-Alpes, and [5-10]% in Provence-Alpes-Côte-D’azur.  </w:t>
        <w:br/>
        <w:t xml:space="preserve">18. At the level of the agglomerations, the parties are simultaneously active in Greater Paris as well as in the cities of Lyon, Bayonne, Rouen, and Nancy. At the departmental level, they both operate in the departments of Ain (01), Alpes-Maritimes (06), Calvados (14), Charente-Maritime (17), Ille-et-Vilaine (35), Var (83), Hauts-de-Seine (92), and Val-de-Marne (94). In each of these areas, the market share of the new entity will remain below [10-20]%.  </w:t>
        <w:br/>
        <w:t xml:space="preserve">19. The parties to the operation further indicate that they will continue to face competition from several operators active in the field of PERL, such as Iplus, Fidexi, Vivalib, the Areal group and notably its subsidiary IRG Immobilier as well as Nue-Pro Select.  </w:t>
        <w:br/>
        <w:t xml:space="preserve">20. It follows from the above that the operation is not likely to harm competition in the market for the sale of new real estate programs intended for social landlords.  </w:t>
        <w:br/>
        <w:t xml:space="preserve">B. THE MARKET FOR THE SALE OF NEW REAL ESTATE PROGRAMS INTENDED FOR INDIVIDUAL INVESTORS  </w:t>
        <w:br/>
        <w:t xml:space="preserve">21. The notifying party estimates the position of the new entity in the national market for the sale of new real estate programs intended for individual investors at [10-20]%, with an additional market share of [0-5]% for PERL.  </w:t>
        <w:br/>
        <w:t xml:space="preserve">22. It follows from the above that the operation is not likely to harm competition in the market for the sale of new real estate programs intended for individual investors.  </w:t>
        <w:br/>
        <w:t>5</w:t>
      </w:r>
    </w:p>
    <w:p>
      <w:r>
        <w:t xml:space="preserve">DECIDES  </w:t>
        <w:br/>
        <w:t xml:space="preserve">Sole Article: the operation notified under number 14-046 is authorized.  </w:t>
        <w:br/>
        <w:t xml:space="preserve">The President,  </w:t>
        <w:br/>
        <w:t xml:space="preserve">Bruno Lasserre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