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https://www.autoritedelaconcurrence.fr/fr/decision-de-controle-des-concentrations/relative-la-prise-de-controle-exclusif-du-groupe-photobox</w:t>
      </w:r>
    </w:p>
    <w:p>
      <w:r>
        <w:t>Pages translated : 2</w:t>
      </w:r>
    </w:p>
    <w:p/>
    <w:p>
      <w:r>
        <w:rPr>
          <w:b/>
        </w:rPr>
        <w:t>[Pages 1–2]</w:t>
      </w:r>
    </w:p>
    <w:p>
      <w:r>
        <w:t xml:space="preserve">FRENCH REPUBLIC  </w:t>
        <w:br/>
        <w:t xml:space="preserve">Decision No. 15-DCC-177 of December 29, 2015  </w:t>
        <w:br/>
        <w:t xml:space="preserve">regarding the exclusive control acquisition of the PhotoBox group by  </w:t>
        <w:br/>
        <w:t xml:space="preserve">Exponent Private Equity  </w:t>
        <w:br/>
        <w:t xml:space="preserve">The Competition Authority,  </w:t>
        <w:br/>
        <w:t xml:space="preserve">Having regard to the complete notification file submitted to the mergers department on December 4, 2015, concerning the exclusive control acquisition of the PhotoBox group by Exponent Private Equity (Holdings) LLP, formalized by a share transfer agreement dated November 20,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PhotoBox group, which is primarily active in the retail sale, on the Internet, of personalized photographic products, by the investment fund Exponent Private Equity. This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15-195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