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https://www.autoritedelaconcurrence.fr/fr/decision-de-controle-des-concentrations/relative-la-prise-de-controle-exclusif-du-groupe-pigeon-par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19-DCC-89 of May 10, 2019  </w:t>
        <w:br/>
        <w:t xml:space="preserve">regarding the exclusive control acquisition of the Pigeon group by the company  </w:t>
        <w:br/>
        <w:t xml:space="preserve">NDK  </w:t>
        <w:br/>
        <w:t xml:space="preserve">The Competition Authority,  </w:t>
        <w:br/>
        <w:t xml:space="preserve">Having regard to the complete notification file sent to the mergers department on April 8, 2019,  </w:t>
        <w:br/>
        <w:t xml:space="preserve">regarding the exclusive control acquisition of the Pigeon group by the company NDK, and formalized by  </w:t>
        <w:br/>
        <w:t xml:space="preserve">a share transfer agreement dated March 26,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NDK of the companies of the  </w:t>
        <w:br/>
        <w:t xml:space="preserve">Pigeon group, which operate car dealerships of the brands Opel, Kia, and  </w:t>
        <w:br/>
        <w:t xml:space="preserve">Nissan in the departments of Charente (16), Charente-Maritime (17), and  </w:t>
        <w:br/>
        <w:t xml:space="preserve">Gironde (33). It constitutes a concentration operation within the meaning of Article L. 430-1 of the  </w:t>
        <w:br/>
        <w:t xml:space="preserve">Commercial Code. Given the turnover generated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19-100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