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https://www.autoritedelaconcurrence.fr/fr/decision-de-controle-des-concentrations/relative-la-prise-de-controle-exclusif-du-groupe-pitch</w:t>
      </w:r>
    </w:p>
    <w:p>
      <w:r>
        <w:t>Pages translated : 7</w:t>
      </w:r>
    </w:p>
    <w:p/>
    <w:p>
      <w:r>
        <w:rPr>
          <w:b/>
        </w:rPr>
        <w:t>[Pages 1–3]</w:t>
      </w:r>
    </w:p>
    <w:p>
      <w:r>
        <w:t xml:space="preserve">FRENCH REPUBLIC  </w:t>
        <w:br/>
        <w:t xml:space="preserve">Decision No. 16-DCC-12 of January 27, 2016  </w:t>
        <w:br/>
        <w:t xml:space="preserve">regarding the exclusive control of the Pitch Promotion group by  </w:t>
        <w:br/>
        <w:t>Altarea Cogedim</w:t>
      </w:r>
    </w:p>
    <w:p>
      <w:r>
        <w:t xml:space="preserve">The Competition Authority,  </w:t>
        <w:br/>
        <w:t xml:space="preserve">Having regard to the notification file submitted in full to the merger service on December 21, 2015, regarding the exclusive control of the Pitch Promotion group by Altarea Cogedim, formalized by a draft share transfer agreement dated November 16, 2015;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Altarea is a limited partnership with shares listed on Euronext NYSE Paris, whose manager and main shareholder is Mr. Alain Taravella. Altarea heads the Altarea Cogedim group, active in the real estate services markets. In terms of real estate services, Altarea operates more specifically in the fields of residential real estate development, office real estate development, ownership and management for its own account of shopping centers, management of shopping centers for third parties, and administration of real estate properties.  </w:t>
        <w:br/>
        <w:t xml:space="preserve">2. Pitch Promotion is a public limited company owned 50.1% by Altana Investissements and the SCI Terra Nova, family holdings of its president Mr. Christian Terrassoux, with the remainder of the capital held 33.4% by Caille SAS and 16.5% by its executives. Pitch Promotion is active in the real estate services markets, particularly in residential real estate development, management for its own account of shopping centers, and administration of real estate properties.  </w:t>
        <w:br/>
        <w:t>1 Altarea is no longer present in the online commerce sector after having sold the entire Rue du Commerce business at the end of 2015. See the European Commission decision of November 24, 2015 COMP/M.7790 Carrefour Group/Rue du Commerce.</w:t>
      </w:r>
    </w:p>
    <w:p>
      <w:r>
        <w:t xml:space="preserve">3. Under the terms of the draft share transfer agreement dated November 16, 2015, the transaction involves the acquisition by Altarea, through its subsidiary Alta Favart, of 100% of the capital of the company Pitch Promotion and its subsidiaries, with the exception of certain hotel activities, establishments, and lands that are not included in the scope of the offer.  </w:t>
        <w:br/>
        <w:t xml:space="preserve">4. As it results in the exclusive control of the Pitch Promotion group by the company Altarea, the notified transaction constitutes a concentration within the meaning of Article L. 430-1 of the Commercial Code.  </w:t>
        <w:br/>
        <w:t>5. The companies concerned have together achieved a consolidated worldwide turnover, excluding taxes, of more than 150 million euros (Altarea: [...] billion euros during the fiscal year ended December 31, 2014; Pitch Promotion: [...] million euros during the fiscal year ended March 31, 2015). Each of these companies has achieved, in France, a turnover exceeding 50 million euros (Altarea: [...] million euros during the fiscal year ended December 31, 2014; Pitch Promotion: [...] million euros during the fiscal year ended March 31, 2015). Given the turnover of the companies concerned, the operation does not fall under the jurisdiction of the European Union. However, the control thresholds mentioned in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6. The parties are simultaneously active in the real estate services markets.  </w:t>
        <w:br/>
        <w:t xml:space="preserve">A. THE SERVICE MARKETS  </w:t>
        <w:br/>
        <w:t xml:space="preserve">7. The national and European competition authorities have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such as warehouses or hotels), and (iv) the nature of the services or goods offered.  </w:t>
        <w:br/>
        <w:t xml:space="preserve">2 This concerns the establishment "Le Relais de la Malmaison" located in Rueil-Malmaison, the establishment "Le Christopher," and three villas located in Saint-Barthélemy (French West Indies) as well as various co-owned buildings located in Paris.  </w:t>
        <w:br/>
        <w:t xml:space="preserve">3 See in particular the Authority's decisions No. 14-DCC-46 of April 1, 2014, regarding the joint control of an industrial real estate asset in Moselle by Norges Bank and Prologis, No. 09-DCC-16 of June 22, 2009, regarding the merger between the Caisse d’Épargne and Banque Populaire groups, as well as decision C2008-79 / Letter from the Minister of Economy, Industry and Employment of August 22, 2008, to the boards of the companies CDC and Eurosic, regarding a concentration in the real estate sector, BOCCRF No. 8 bis of October 23, 2008.  </w:t>
        <w:br/>
        <w:t xml:space="preserve">4 See the decisions of the European Commission COMP/M.2110 Deutsche Bank / SEI / JV of September 25, 2000, IV/M.2825 Fortis AG SA / Bernheim-Comofi SA of July 9, 2002, and COMP/M.3370 BNP Paribas/ARI of March 9, 2004.  </w:t>
        <w:br/>
        <w:t xml:space="preserve">5 The properties are intended either for individuals, the concerned buildings being for residential use, or for businesses, the concerned buildings being for commercial or professional use.  </w:t>
        <w:br/>
        <w:t xml:space="preserve">6 See the Authority's decisions No. 12-DCC-156 of November 12, 2012, regarding the joint control of a real estate civil company for the acquisition of an office building by CNP Assurance and Sogecap, and No. 12-DCC-157 of November 15, 2012, regarding the joint control of a real estate civil company for the ownership of an office building located in Lyon by the companies Prédica and the Caisse des Dépôts et Consignations.  </w:t>
        <w:br/>
        <w:t>7 See the European Commission decision COMP/M.2863 Morgan Stanley / Olivetti / Telecom Italia / Tiglio of August 30, 2002.</w:t>
      </w:r>
    </w:p>
    <w:p>
      <w:r>
        <w:t xml:space="preserve">8. Regarding segmentation according to the nature of services or goods offered, the decisional practice has considered distinguishing:  </w:t>
        <w:br/>
        <w:t xml:space="preserve">i) real estate development, which includes construction and sale activities of real estate properties;  </w:t>
        <w:br/>
        <w:t xml:space="preserve">ii) management of real estate assets for own account;  </w:t>
        <w:br/>
        <w:t xml:space="preserve">iii) management of real estate assets for third parties (institutional investors, mainly banks and insurance companies), which covers advice and management of real estate portfolios (arbitrage and asset valuation), structuring of real estate investment operations, and management of real estate assets and specialized investment vehicles (notably real estate civil companies);  </w:t>
        <w:br/>
        <w:t xml:space="preserve">iv) administration of real estate properties, which covers the activities of managing properties on behalf of owners and can be segmented between rental management and co-ownership management;  </w:t>
        <w:br/>
        <w:t xml:space="preserve">v) real estate expertise;  </w:t>
        <w:br/>
        <w:t xml:space="preserve">vi) real estate consulting;  </w:t>
        <w:br/>
        <w:t xml:space="preserve">vii) intermediation in real estate transactions, for which intermediation in purchase/sale operations is distinct from intermediation in rental operations.  </w:t>
        <w:br/>
        <w:t xml:space="preserve">9. Regarding management for own account of shopping centers, the national decisional practice, while leaving the question open, has considered a segmentation between shopping centers and commercial premises at the foot of buildings, as well as a segmentation of shopping centers according to their size, namely:  </w:t>
        <w:br/>
        <w:t xml:space="preserve">- small shopping centers ("PCC"), with a usable commercial area between 5,000 and 20,000 m² and containing between 20 and 40 shops (stores and services);  </w:t>
        <w:br/>
        <w:t xml:space="preserve">- large shopping centers ("GCC"), with a usable commercial area between 20,000 and 40,000 m² and containing between 40 and 80 shops;  </w:t>
        <w:br/>
        <w:t xml:space="preserve">- regional shopping centers ("CCR"), with a usable commercial area exceeding 40,000 m² and with more than 80 shops; and  </w:t>
        <w:br/>
        <w:t xml:space="preserve">- specialized theme centers ("CCT"), for example, in home equipment and manufacturer shops.  </w:t>
        <w:br/>
        <w:t xml:space="preserve">10. In this case, in this market, the asset concerned by the operation is a shopping center with an area of 14,000 m² located in the city center of Toulouse.  </w:t>
        <w:br/>
        <w:t xml:space="preserve">8 See decision C2007-166 / Letter from the Minister of Economy, Finance and Employment of December 20, 2007, to the boards of the Nexity group, regarding a concentration in the real estate development sector.  </w:t>
        <w:br/>
        <w:t xml:space="preserve">9 See the Authority's decisions No. 15-DCC-56 of May 20, 2015, regarding the joint control of a real estate complex in Ollioules by the BPCE group and the Caisse des Dépôts et Consignations, and No. 14-DCC-183 of December 12, 2014, regarding the joint control of the companies Val Commerces and Winter by the companies Eurocommercial Properties France and Agipimmo.  </w:t>
        <w:br/>
        <w:t xml:space="preserve">10 See the letter from the Minister of Economy, Finance and Industry C2005-126 of January 25, 2006, to the boards of the company Perexia regarding a concentration in the real estate services sector, B.O.C.C.R.F. No. 6 of June 21, 2006.  </w:t>
        <w:br/>
        <w:t xml:space="preserve">11 See the decision of the Competition Authority No. 11-DCC-178 of December 13, 2011, and the letter from the Minister of Economy C2007-52 of May 22, 2007, to the boards of the company Unibail, regarding a concentration in the real estate services sector.  </w:t>
        <w:br/>
        <w:t>12 See decisions No. 14-DCC-36 of March 18, 2014, regarding the exclusive control by the Carrefour group of a portfolio of 57 shopping galleries from the company Klépierre, No. 14-DCC-164 of November 13, 2014, regarding the exclusive control by the Carrefour group of a portfolio of six shopping galleries from the company Unibail-Rodamco, and No. 11-DCC-178 of December 13, 2011, regarding the joint control by the Caisse des Dépôts et Consignations and CNP Assurances of the company Malthazar SAS.</w:t>
      </w:r>
    </w:p>
    <w:p>
      <w:r>
        <w:rPr>
          <w:b/>
        </w:rPr>
        <w:t>[Pages 4–6]</w:t>
      </w:r>
    </w:p>
    <w:p>
      <w:r>
        <w:t>11. In any event, there is no reason to challenge these segmentations in the present decision.</w:t>
      </w:r>
    </w:p>
    <w:p>
      <w:r>
        <w:t>B. GEOGRAPHIC MARKETS</w:t>
      </w:r>
    </w:p>
    <w:p>
      <w:r>
        <w:t>12. The decisional practice considers that most real estate service markets are subnational in scope, while leaving the question open. Indeed, the local dimension is particularly justified by the differences observed between regions or between major urban areas in terms of housing prices and demand behavior.</w:t>
      </w:r>
    </w:p>
    <w:p>
      <w:r>
        <w:t>13. Furthermore, regarding the Ile-de-France region in which the parties are present, the decisional practice holds that "the Paris region has particular properties of urban area continuity. Indeed, there is a vast very urbanized and homogeneous area covering most of Ile-de-France, served by a comprehensive transport network; residents are always able to arbitrate between different parts of the region. This substitutability leads to a convergence in pricing. Therefore, the regional level is the most appropriate for competitive analysis."</w:t>
      </w:r>
    </w:p>
    <w:p>
      <w:r>
        <w:t>14. The decisional practice has considered a national or subnational delimitation of the markets for management for own account of shopping centers. At the subnational level, two levels of analysis are generally retained: the region and the urban area, with the analysis typically conducted at the regional level when the size of the urban area is too small to allow for a genuine competitive analysis. In this case, the analysis will be conducted at the level of the Toulouse urban area.</w:t>
      </w:r>
    </w:p>
    <w:p>
      <w:r>
        <w:t>15. The decisional practice has also considered a national delimitation for the markets of real estate services intended for businesses when investment operations are carried out by large investors.</w:t>
      </w:r>
    </w:p>
    <w:p>
      <w:r>
        <w:t>16. The question of the geographic delimitation of real estate service markets can be left open as the conclusions of the competitive analysis will remain unchanged regardless of the delimitations retained.</w:t>
      </w:r>
    </w:p>
    <w:p>
      <w:r>
        <w:t>17. The parties are both simultaneously active in the markets for residential and office real estate development, on the one hand, and for management for own account of shopping centers, on the other.</w:t>
      </w:r>
    </w:p>
    <w:p>
      <w:r>
        <w:t>18. Furthermore, Pitch Promotion and Altarea also have an extremely marginal activity in the market for property management ([0-5]% of Pitch Promotion's turnover and [0-5]% of Altarea's turnover). Given the particularly weak position of the parties, any risk of harm to competition can be ruled out in this market, which will not be subject to a more detailed analysis.</w:t>
      </w:r>
    </w:p>
    <w:p>
      <w:r>
        <w:t>A. ON THE MARKETS FOR REAL ESTATE DEVELOPMENT</w:t>
      </w:r>
    </w:p>
    <w:p>
      <w:r>
        <w:t>19. The parties are simultaneously active in the markets for residential and office real estate development.</w:t>
      </w:r>
    </w:p>
    <w:p>
      <w:r>
        <w:t>1. ON THE MARKET FOR RESIDENTIAL REAL ESTATE DEVELOPMENT</w:t>
      </w:r>
    </w:p>
    <w:p>
      <w:r>
        <w:t>20. At the national level, the notifying party estimates its cumulative market share following the transaction in the residential real estate development market to be [0-5]%. At the regional level, the parties are simultaneously present in the regions of Aquitaine, Ile-de-France, Languedoc-Roussillon, Midi-Pyrénées, Provence-Alpes-Côte d’Azur, and Rhône-Alpes. In these regions, the cumulative market share of the parties will be between [0-5]% and [5-10]% following the transaction.</w:t>
      </w:r>
    </w:p>
    <w:p>
      <w:r>
        <w:t>21. At the departmental level, the parties are simultaneously present in Paris (75) and in the departments of Ile-de-France. In these departments, their cumulative market share will be between [5-10]% (in Seine-Saint-Denis) and [10-15]% (in Hauts-de-Seine). The parties are also present in the urban areas of Aix-Marseille, Bordeaux, Lyon, Montpellier, Nice, and Toulouse, where their cumulative market share will be between [0-5]% (in the Bordeaux urban area) and [5-10]% (in the Aix-Marseille urban area).</w:t>
      </w:r>
    </w:p>
    <w:p>
      <w:r>
        <w:t>22. In the event of segmentation according to the pricing mechanism, the parties are primarily active in the segment of free residential real estate and, residually, in the segments of social housing and intermediate housing. Regardless of the segment considered, the market share of the new entity will remain below [10-20]% following the transaction.</w:t>
      </w:r>
    </w:p>
    <w:p>
      <w:r>
        <w:t>23. Moreover, the market for real estate development, both at the national and local levels, is characterized by the presence of numerous players including Bouygues Immobilier, Kaufman &amp; Broad, Maisons France Confort, Nexity, Eiffage Immobilier, and Vinci Immobilier.</w:t>
      </w:r>
    </w:p>
    <w:p>
      <w:r>
        <w:t>24. Therefore, this transaction is not likely to harm competition in the residential real estate development market.</w:t>
      </w:r>
    </w:p>
    <w:p>
      <w:r>
        <w:t>2. ON THE MARKET FOR OFFICE REAL ESTATE DEVELOPMENT</w:t>
      </w:r>
    </w:p>
    <w:p>
      <w:r>
        <w:t>25. At the national level, the notifying party estimates its cumulative market share following the transaction in the office real estate development market to be below 5%. At the regional level (Ile-de-France, Provence-Alpes-Côte d’Azur, and Rhône-Alpes), the cumulative market share of the parties will be between [5-10]% and [10-20]%. At the departmental level, the cumulative market share of the parties will be below [10-20]% in Paris and Rhône and around 18.5% in Bouches-du-Rhône. Finally, the notifying party indicates that in Hauts-de-Seine, the cumulative market share of the parties will be around [20-30]%, but the increment in market share resulting from the transaction being below [0-5]%, the transaction is not likely to significantly alter the competitive situation in this department.</w:t>
      </w:r>
    </w:p>
    <w:p>
      <w:r>
        <w:t>26. In any event, the new entity will face competition from significant operators including BNP Paribas Real Estate, Bouygues Immobilier, Eiffage Immobilier, Vinci Immobilier, and Nexity.</w:t>
      </w:r>
    </w:p>
    <w:p>
      <w:r>
        <w:t>27. Consequently, this transaction is not likely to harm competition in the office real estate development market.</w:t>
      </w:r>
    </w:p>
    <w:p>
      <w:r>
        <w:t>B. ON THE MARKET FOR MANAGEMENT FOR OWN ACCOUNT OF SHOPPING CENTERS</w:t>
      </w:r>
    </w:p>
    <w:p>
      <w:r>
        <w:t>28. In the market for management for own account of shopping centers, the parties each hold a shopping center in the Toulouse urban area, with a surface area of 51,800 m² for Altarea (category "CCR") and a surface area of 14,000 m² for Pitch Promotion (category "PCC"). Thus, in the event of a global market, without distinction according to the size of the shopping center, the cumulative market share of the parties will amount to approximately [10-20]% in the Toulouse urban area. In this regard, with an increment of around [0-5]%, the proposed transaction is not likely to significantly alter the competitive structure of the market for management for own account of shopping centers in this urban area.</w:t>
      </w:r>
    </w:p>
    <w:p>
      <w:r>
        <w:t>29. Consequently, this transaction is not likely to harm competition through horizontal effects in the market for management for own account of shopping centers.</w:t>
      </w:r>
    </w:p>
    <w:p>
      <w:r>
        <w:rPr>
          <w:b/>
        </w:rPr>
        <w:t>[Pages 7–7]</w:t>
      </w:r>
    </w:p>
    <w:p>
      <w:r>
        <w:t xml:space="preserve">DECIDES  </w:t>
        <w:br/>
        <w:t xml:space="preserve">Sole Article: The transaction notified under number 15-217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