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https://www.autoritedelaconcurrence.fr/fr/decision-de-controle-des-concentrations/relative-la-prise-de-controle-exclusif-du-groupe-poralu-par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22-DCC-221 of November 17, 2022  </w:t>
        <w:br/>
        <w:t xml:space="preserve">regarding the exclusive control acquisition of the Poralu group by the Herige group  </w:t>
        <w:br/>
        <w:t xml:space="preserve">The Competition Authority,  </w:t>
        <w:br/>
        <w:t xml:space="preserve">Having regard to the complete notification file sent to the mergers department on October 31, 2022,  </w:t>
        <w:br/>
        <w:t xml:space="preserve">concerning the exclusive control acquisition by the Herige group of the company Carpel, holding company  </w:t>
        <w:br/>
        <w:t xml:space="preserve">of the Poralu group, formalized by a memorandum of understanding dated September 28,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Herige group of the company  </w:t>
        <w:br/>
        <w:t xml:space="preserve">Carpel, holding company of the Poralu group, which is notably active in the carpentry sector. It constitutes a concentration within the meaning of Article L. 430-1 of the Commercial Code.  </w:t>
        <w:br/>
        <w:t xml:space="preserve">Given the turnover achieved by the companies concerned, 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22-244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