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https://www.autoritedelaconcurrence.fr/fr/decision-de-controle-des-concentrations/relative-la-prise-de-controle-exclusif-du-groupe-premium-0</w:t>
      </w:r>
    </w:p>
    <w:p>
      <w:r>
        <w:t>Pages translated : 2</w:t>
      </w:r>
    </w:p>
    <w:p/>
    <w:p>
      <w:r>
        <w:rPr>
          <w:b/>
        </w:rPr>
        <w:t>[Pages 1–2]</w:t>
      </w:r>
    </w:p>
    <w:p>
      <w:r>
        <w:t>FRENCH REPUBLIC</w:t>
        <w:br/>
        <w:t>Decision No. 24-DCC-232 of November 4, 2024</w:t>
        <w:br/>
        <w:t>regarding the exclusive control acquisition of the Premium Travel group by</w:t>
        <w:br/>
        <w:t>the company Marietton Développement</w:t>
        <w:br/>
        <w:t>The Competition Authority,</w:t>
        <w:br/>
        <w:t>Having regard to the complete notification file submitted to the mergers department on October 11, 2024,</w:t>
        <w:br/>
        <w:t>concerning the exclusive control acquisition of the Premium Travel group by the company Marietton</w:t>
        <w:br/>
        <w:t>Développement, formalized by a sale and share contribution agreement signed on</w:t>
        <w:br/>
        <w:t>September 16, 2024;</w:t>
        <w:br/>
        <w:t>Having regard to Book IV of the Commercial Code relating to the freedom of prices and competition, and</w:t>
        <w:br/>
        <w:t>notably its Articles L. 430-1 to L. 430-7;</w:t>
        <w:br/>
        <w:t>Adopts the following decision:</w:t>
        <w:br/>
        <w:t>1. The notified operation consists of the acquisition, by the company Marietton Développement, of all the shares and voting rights of the company Premium Travel Holding, at the head of the Premium Travel group. The parties are notably active in the travel distribution markets.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concerned markets.</w:t>
      </w:r>
    </w:p>
    <w:p>
      <w:r>
        <w:t>DECIDES</w:t>
        <w:br/>
        <w:t>Sole Article: The operation notified under number 24-258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