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https://www.autoritedelaconcurrence.fr/fr/decision-de-controle-des-concentrations/relative-la-prise-de-controle-exclusif-du-groupe-premium</w:t>
      </w:r>
    </w:p>
    <w:p>
      <w:r>
        <w:t>Pages translated : 2</w:t>
      </w:r>
    </w:p>
    <w:p/>
    <w:p>
      <w:r>
        <w:rPr>
          <w:b/>
        </w:rPr>
        <w:t>[Pages 1–2]</w:t>
      </w:r>
    </w:p>
    <w:p>
      <w:r>
        <w:t xml:space="preserve">FRENCH REPUBLIC  </w:t>
        <w:br/>
        <w:t xml:space="preserve">Decision No. 21-DCC-74 of May 5, 2021  </w:t>
        <w:br/>
        <w:t xml:space="preserve">regarding the exclusive control acquisition of the Premium group by the  </w:t>
        <w:br/>
        <w:t xml:space="preserve">company Eurazeo PME  </w:t>
        <w:br/>
        <w:t xml:space="preserve">The Competition Authority,  </w:t>
        <w:br/>
        <w:t xml:space="preserve">Having regard to the complete notification file sent to the mergers department on April 16, 2021  </w:t>
        <w:br/>
        <w:t xml:space="preserve">concerning the exclusive control acquisition of the Premium group by the company Eurazeo PME, formalized  </w:t>
        <w:br/>
        <w:t xml:space="preserve">by a purchase agreement dated March 15,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Eurazeo PME of the  </w:t>
        <w:br/>
        <w:t xml:space="preserve">Premium group, active in the sectors of insurance product distribution, financial asset management, and  </w:t>
        <w:br/>
        <w:t xml:space="preserve">employment services to businesses.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21-059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