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https://www.autoritedelaconcurrence.fr/fr/decision-de-controle-des-concentrations/relative-la-prise-de-controle-exclusif-du-groupe-prezioso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12-DCC-80 of June 8, 2012  </w:t>
        <w:br/>
        <w:t xml:space="preserve">regarding the exclusive control acquisition of the Prezioso group by the  </w:t>
        <w:br/>
        <w:t>Cinven group</w:t>
      </w:r>
    </w:p>
    <w:p>
      <w:r>
        <w:t>The Competition Authority,</w:t>
      </w:r>
    </w:p>
    <w:p>
      <w:r>
        <w:t xml:space="preserve">Having regard to the complete notification file submitted to the mergers department on May 2, 2012,  </w:t>
        <w:br/>
        <w:t xml:space="preserve">concerning the acquisition of the Prezioso group by the company Montecin France 1, formalized by a  </w:t>
        <w:br/>
        <w:t>share acquisition agreement dated April 26, 2012;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transaction consists of the exclusive control acquisition by the private equity group  </w:t>
        <w:br/>
        <w:t xml:space="preserve">Cinven, via the investment fund Cinven Capital Management (V) General Partner Limited, of the Prezioso group, active in  </w:t>
        <w:br/>
        <w:t xml:space="preserve">business maintenance services, in France and abroad. It constitutes a concentration operation within the meaning of Article L. 430-1 of  </w:t>
        <w:br/>
        <w:t xml:space="preserve">the Commercial Code. Given the turnover achieved by the concerned companies, the operation does not have a community dimension. On the other hand, the control thresholds  </w:t>
        <w:br/>
        <w:t xml:space="preserve">mentioned in point I of Article L. 430-2 of the Commercial Code are exceeded. This  </w:t>
        <w:br/>
        <w:t>operation is therefore subject to the provisions of Articles L. 430-3 and following of the Commercial Code relating to economic concentration.</w:t>
      </w:r>
    </w:p>
    <w:p>
      <w:r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notified operation under number 12-070 is authorized.  </w:t>
        <w:br/>
        <w:t xml:space="preserve">The Vice-President,  </w:t>
        <w:br/>
        <w:t xml:space="preserve">Anne Perrot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