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https://www.autoritedelaconcurrence.fr/fr/decision-de-controle-des-concentrations/relative-la-prise-de-controle-exclusif-du-groupe-prisma</w:t>
      </w:r>
    </w:p>
    <w:p>
      <w:r>
        <w:t>Pages translated : 37</w:t>
      </w:r>
    </w:p>
    <w:p/>
    <w:p>
      <w:r>
        <w:rPr>
          <w:b/>
        </w:rPr>
        <w:t>[Pages 1–3]</w:t>
      </w:r>
    </w:p>
    <w:p>
      <w:r>
        <w:t>FRENCH REPUBLIC</w:t>
        <w:br/>
        <w:t>Decision No. 21-DCC-70 of April 29, 2021</w:t>
        <w:br/>
        <w:t>regarding the exclusive control of the Prisma Media group by the</w:t>
        <w:br/>
        <w:t>Vivendi group</w:t>
        <w:br/>
        <w:t>The Competition Authority,</w:t>
        <w:br/>
        <w:t>Having regard to the notification file submitted in full to the merger service on March 24, 2021,</w:t>
        <w:br/>
        <w:t>regarding the exclusive control of the Prisma Media group by Vivendi SE,</w:t>
        <w:br/>
        <w:t>formalized by a purchase promise dated December 23, 2020;</w:t>
        <w:br/>
        <w:t>Having regard to Book IV of the Commercial Code relating to price freedom and competition, and</w:t>
        <w:br/>
        <w:t>notably its Articles L. 430-1 to L. 430-7;</w:t>
        <w:br/>
        <w:t>Having regard to the additional elements submitted by the notifying party during the investigation;</w:t>
        <w:br/>
        <w:t>Having regard to the other documents in the file;</w:t>
        <w:br/>
        <w:t>Adopts the following decision:</w:t>
      </w:r>
    </w:p>
    <w:p>
      <w:r>
        <w:t>Summary1</w:t>
        <w:br/>
        <w:t>By means of the decision below, the Authority examined the exclusive control of the Prisma Media group by the Vivendi group.</w:t>
        <w:br/>
        <w:t>The Vivendi group is active in particular in the sectors of music (via Universal Music Group), free and pay television (via Groupe Canal Plus), advertising services (via Havas), publishing and book sales (via Editis), mobile video games (via Gameloft), video creation and hosting on the internet (via Dailymotion), and free press (via the free daily newspaper CNews).</w:t>
        <w:br/>
        <w:t>Prisma Media is a French group primarily active in magazine publishing. Its portfolio includes titles such as Ça M’intéresse, Capital, Cuisine Actuelle, Femme Actuelle, Gala, Geo, National Geographic, Télé 2 Semaines, Télé-Loisirs, TV Grandes Chaînes, and Voici.</w:t>
        <w:br/>
        <w:t>Vivendi and Prisma Media are simultaneously active in the markets for publishing and book sales, advertising, editorial website operations2, and readership3.</w:t>
        <w:br/>
        <w:t>In these defined or contemplated markets by the practice of the Competition Authority, the risks of horizontal effects4 related to the operation could be ruled out. First, the market shares of the new entity, in the markets where their activities overlap, remain systematically below 25%, regardless of the market considered. Second, in most of the markets and segmentations considered, the additions of market shares related to the operation are very low. Third, there are numerous competitors in each of these markets, including Hachette, Albin Michel, Actes Sud, and France Loisirs (publishing and book sales), Google and Facebook (online advertising), and lefigaro.fr, lemonde.fr, 20minutes.fr, and franceinfo.fr (editorial website operations).</w:t>
        <w:br/>
        <w:t>In addition to analyzing the horizontal effects of the operation, the Authority also examined the vertical effects5 that it could entail. These potential vertical effects were analyzed in the markets for publishing and book sales and in the advertising markets.</w:t>
        <w:br/>
        <w:t>In the markets for publishing and book sales, the market shares held by the parties are below 30% across all relevant markets, except for the market for broadcasting and distribution services. However, it was found that the operation was not likely to harm competition through vertical effects in these markets, given, first, that Prisma Media already uses […] the services of Editis for the distribution and broadcasting of its titles and, second, that Prisma Media's purchasing market shares in the broadcasting and distribution services markets are below 1%.</w:t>
        <w:br/>
        <w:t>In the advertising markets, the potential vertical effects related to the operation were analyzed, stemming, first, from the parties' activities as suppliers and demanders of advertising space and, second, from Havas's activities in the markets for advertising space purchasing services and marketing and communication services, in which Prisma is active as a demander. The investigation ruled out the vertical risks arising from either of these potential links. In particular, it was observed that assuming the new entity could eliminate some of its competitors or turn away from them, this would have no effect on the considered markets, particularly given the limited market shares of the parties. Indeed, the parties' market shares exceed 30% in a limited number of advertising markets in magazine publishing, without the parties being considered an essential outlet for advertisers.</w:t>
        <w:br/>
        <w:t>Finally, given in particular the acquirer's presence in a large number of related markets, the potential conglomerate risks related to the operation received particular attention from the Authority. It emerged from the market tests conducted during the investigation that the operation could lead to conglomerate effects resulting, on the one hand, from leverage effects6 implemented in the advertising, pay television, and magazine readership markets and, on the other hand, from a "portfolio effect" allowing the new entity to offer a range of content.</w:t>
        <w:br/>
        <w:t>Regarding a leverage effect implemented from the advertising markets, it was observed that assuming the new entity would offer, following the operation, packages bundling or linking advertising spaces in magazine publishing and television or online spaces, such a strategy would be unlikely to eliminate its competitors in the television advertising and online advertising markets. In this regard, it was recalled that both Prisma Media and Vivendi are already present in several advertising markets. Furthermore, the negotiating power of advertisers (notably in offline advertising) and the existence of other integrated players (in the media, such as TF1 and M6) were taken into account to rule out the risk of conglomerate effects between the various advertising space sales markets.</w:t>
        <w:br/>
        <w:t>Regarding a leverage effect implemented from the pay television markets, two scenarios were considered: first, a scenario based on offers coupling GCP television offers and Prisma Media magazine offers, aimed at developing Prisma Media's position in the readership market; second, a scenario based on ceasing to provide program grids of GCP channels to press titles not belonging to the new entity. In either case, the risks of anti-competitive effects arising from these scenarios could be ruled out. In particular, it was noted that such strategies, if implemented, would be difficult to make profitable for the new entity.</w:t>
        <w:br/>
        <w:t xml:space="preserve">Regarding a leverage effect implemented from the magazine readership markets, three scenarios were considered: first, a scenario based on the new entity establishing offers coupling Prisma Media magazines with GCP television offers or exclusivity in access to Prisma Media titles; second, a scenario of valorizing the content of Canal+ channels within Prisma Media press titles; third, a scenario in which the new entity would implement an eviction strategy against digital kiosks7. In each of the first two hypotheses, the risks of anti-competitive effects could be ruled out. It appears in particular that press titles are only a very minor element in the animation of the pay television services distribution market. As for the establishment of an editorial treatment </w:t>
        <w:br/>
        <w:t>6 A leverage effect is the ability of a company to increase the sales of a product or service in a market by exploiting the strong market position of another product or service to which the first product or service is linked, related, or bundled.</w:t>
        <w:br/>
        <w:t>7 Digital kiosks are online public communication services that ensure the grouped digital distribution of online press services or digitized versions of newspapers or periodicals.</w:t>
      </w:r>
    </w:p>
    <w:p>
      <w:r>
        <w:rPr>
          <w:b/>
        </w:rPr>
        <w:t>[Pages 4–6]</w:t>
      </w:r>
    </w:p>
    <w:p>
      <w:r>
        <w:t>biased in favor of GCP channels within the television magazine press titles of Prisma Media (lack of neutrality, readership leakage), it would have negative effects for consumers who are seeking objective advice, while having limited positive effects, given that the audience of television channels is primarily built on the quality, richness, and relevance of the programs.</w:t>
      </w:r>
    </w:p>
    <w:p>
      <w:r>
        <w:t>Finally, regarding the assessment of the effects of the operation on digital kiosks, while it appears that the new entity could either refuse to integrate digital kiosks into its own offerings to end consumers in order to favor an internal offer developed from the contents of Prisma Media, or deny digital kiosks access to the titles of Prisma Media to maintain exclusivity, none of these strategies is likely to generate anti-competitive effects in the readership market, considering the low penetration of press distribution via digital kiosks, on the one hand, and the fact that the titles of Prisma Media do not present an essential character for these digital kiosks, whose attractiveness primarily relies on the number of available titles.</w:t>
      </w:r>
    </w:p>
    <w:p>
      <w:r>
        <w:t>Finally, the Authority noted that, while the new entity will be able to offer a comprehensive package to consumers in the entertainment and culture sector (music, pay television, books, and magazine press) following the operation, the establishment of such an offer could only be proposed at a significant cost. It would also present limited interest compared to other more comprehensive and affordable competing offers, particularly in music or magazine press.</w:t>
      </w:r>
    </w:p>
    <w:p>
      <w:r>
        <w:t>Therefore, the operation is not likely to harm competition through conglomerate effects.</w:t>
      </w:r>
    </w:p>
    <w:p>
      <w:r>
        <w:t>In total, after taking into account all the elements gathered during the investigation, particularly the market tests, the Authority approved the notified operation.</w:t>
      </w:r>
    </w:p>
    <w:p>
      <w:r>
        <w:t xml:space="preserve">I. The Companies Involved and the Operation ...................................... 8 </w:t>
        <w:br/>
        <w:t xml:space="preserve">II. Delimitation of Relevant Markets ....................................................... 9 </w:t>
        <w:br/>
        <w:t xml:space="preserve">A. PUBLISHING AND BOOK SALES MARKETS ................................................................. 9 </w:t>
        <w:br/>
        <w:t xml:space="preserve">1. PRODUCT OR SERVICE MARKETS ................................................................................ 9 </w:t>
        <w:br/>
        <w:t xml:space="preserve">a) Upstream Markets for Rights Acquisition .............................................................. 9 </w:t>
        <w:br/>
        <w:t xml:space="preserve">Primary Markets for French Language Publishing Rights ..................................... 9 </w:t>
        <w:br/>
        <w:t xml:space="preserve">Secondary Markets for French Language Publishing Rights ................................ 10 </w:t>
        <w:br/>
        <w:t xml:space="preserve">b) Intermediate Markets for Broadcasting and Distribution Services .................... 11 </w:t>
        <w:br/>
        <w:t xml:space="preserve">Broadcasting Services ............................................................................................ 11 </w:t>
        <w:br/>
        <w:t xml:space="preserve">Distribution Services ............................................................................................. 12 </w:t>
        <w:br/>
        <w:t xml:space="preserve">c) Downstream Markets for the Sale of Books by Publishers to Retailers ............ 12 </w:t>
        <w:br/>
        <w:t xml:space="preserve">2. GEOGRAPHIC MARKETS ................................................................................................... 13 </w:t>
        <w:br/>
        <w:t xml:space="preserve">a) Upstream Markets for Rights Acquisition ............................................................ 13 </w:t>
        <w:br/>
        <w:t xml:space="preserve">b) Intermediate Markets for Broadcasting and Distribution Services .................... 14 </w:t>
        <w:br/>
        <w:t xml:space="preserve">c) Downstream Markets for the Sale of Books by Publishers to Retailers ............ 14 </w:t>
        <w:br/>
        <w:t xml:space="preserve">B. ADVERTISING MARKETS ................................................................................................... 15 </w:t>
        <w:br/>
        <w:t xml:space="preserve">1. MARKETS FOR THE SALE OF ADVERTISING SPACE ....................................................... 15 </w:t>
        <w:br/>
        <w:t xml:space="preserve">a) Product or Service Markets .................................................................................. 15 </w:t>
        <w:br/>
        <w:t xml:space="preserve">Online ...................................................................................................................... 15 </w:t>
        <w:br/>
        <w:t xml:space="preserve">Print Media ............................................................................................................... 15 </w:t>
        <w:br/>
        <w:t xml:space="preserve">Television .................................................................................................................. 16 </w:t>
        <w:br/>
        <w:t xml:space="preserve">b) Geographic Markets .............................................................................................. 16 </w:t>
        <w:br/>
        <w:t xml:space="preserve">Online ...................................................................................................................... 16 </w:t>
        <w:br/>
        <w:t xml:space="preserve">Print Media ............................................................................................................... 16 </w:t>
        <w:br/>
        <w:t xml:space="preserve">Television .................................................................................................................. 16 </w:t>
        <w:br/>
        <w:t>2. MARKETS FOR ADVERTISING SPACE PURCHASE SERVICES AND MARKETING AND</w:t>
        <w:br/>
        <w:t xml:space="preserve">COMMUNICATION SERVICES .......................................................................................... 17 </w:t>
        <w:br/>
        <w:t xml:space="preserve">a) Product or Service Markets .................................................................................. 17 </w:t>
        <w:br/>
        <w:t xml:space="preserve">Advertising Space Purchase Services .................................................................. 17 </w:t>
        <w:br/>
        <w:t xml:space="preserve">Marketing and Commercial Communication Services .......................................... 17 </w:t>
        <w:br/>
        <w:t xml:space="preserve">b) Geographic Markets .............................................................................................. 17 </w:t>
        <w:br/>
        <w:t xml:space="preserve">Advertising Space Purchase Services .................................................................. 17 </w:t>
        <w:br/>
        <w:t xml:space="preserve">Marketing and Commercial Communication Services .......................................... 18 </w:t>
        <w:br/>
        <w:t xml:space="preserve">C. MARKETS FOR THE OPERATION OF EDITORIAL WEBSITES .................................. 18 </w:t>
        <w:br/>
        <w:t xml:space="preserve">1. PRODUCT OR SERVICE MARKETS .................................................................................. 18 </w:t>
        <w:br/>
        <w:t xml:space="preserve">2. GEOGRAPHIC MARKETS ................................................................................................... 19 </w:t>
        <w:br/>
        <w:t xml:space="preserve">D. READER MARKETS ......................................................................................................... 19 </w:t>
        <w:br/>
        <w:t xml:space="preserve">1. PRODUCT OR SERVICE MARKETS .................................................................................. 20 </w:t>
        <w:br/>
        <w:t xml:space="preserve">2. GEOGRAPHIC MARKETS ................................................................................................... 21 </w:t>
        <w:br/>
        <w:t xml:space="preserve">E. MARKETS FOR THE DISTRIBUTION OF PAY TELEVISION SERVICES .................... 21 </w:t>
        <w:br/>
        <w:t xml:space="preserve">1. PRODUCT OR SERVICE MARKETS .................................................................................. 21 </w:t>
        <w:br/>
        <w:t xml:space="preserve">2. GEOGRAPHIC MARKETS ................................................................................................... 22 </w:t>
        <w:br/>
        <w:t xml:space="preserve">III. Competitive Analysis .............................................................. 22 </w:t>
        <w:br/>
        <w:t xml:space="preserve">A. ANALYSIS OF HORIZONTAL EFFECTS ........................................................................... 23 </w:t>
        <w:br/>
        <w:t xml:space="preserve">1. PUBLISHING AND BOOK SALES MARKETS ................................................................. 23 </w:t>
        <w:br/>
        <w:t xml:space="preserve">a) On Upstream Markets for Rights Acquisition .................................................... 23 </w:t>
        <w:br/>
        <w:t xml:space="preserve">b) On Downstream Markets for the Sale of Books to Retailers ............................ 23 </w:t>
        <w:br/>
        <w:t xml:space="preserve">2. ADVERTISING MARKETS .................................................................................................... 24 </w:t>
        <w:br/>
        <w:t xml:space="preserve">a) On Online Advertising Markets ........................................................................... 24 </w:t>
        <w:br/>
        <w:t xml:space="preserve">b) On the Market for Marketing and Communication Services ............................ 24 </w:t>
        <w:br/>
        <w:t xml:space="preserve">3. MARKETS FOR THE OPERATION OF EDITORIAL WEBSITES ....................................... 25 </w:t>
        <w:br/>
        <w:t xml:space="preserve">B. ANALYSIS OF VERTICAL EFFECTS .................................................................................. 25 </w:t>
        <w:br/>
        <w:t xml:space="preserve">1. PUBLISHING AND BOOK SALES MARKETS ................................................................. 26 </w:t>
        <w:br/>
        <w:t xml:space="preserve">2. ADVERTISING MARKETS .................................................................................................... 26 </w:t>
        <w:br/>
        <w:t>a) Vertical Effects Between the Respective Activities of the Parties Offering and</w:t>
        <w:br/>
        <w:t xml:space="preserve">Requesting Advertising Space .................................................................................. 26 </w:t>
        <w:br/>
        <w:t xml:space="preserve">b) Vertical Effects Between Havas's Activities in Advertising Space Purchase Services and Marketing and Communication Services and the Demand for Such Services by Prisma Media ........................................................................................................ 28 </w:t>
        <w:br/>
        <w:t xml:space="preserve">C. ANALYSIS OF CONGLOMERATE EFFECTS .................................................................... 28 </w:t>
        <w:br/>
        <w:t xml:space="preserve">1. ANALYSIS OF A LEVERAGE EFFECT IMPLEMENTED FROM ADVERTISING MARKETS 28 </w:t>
        <w:br/>
        <w:t xml:space="preserve">2. ANALYSIS OF A LEVERAGE EFFECT IMPLEMENTED FROM PAY TELEVISION MARKETS ...................................................................................................................................... 30 </w:t>
        <w:br/>
        <w:t xml:space="preserve">a) The Scenario of Offers Combining GCP Television Offers and Prisma Media Magazine Offers Aiming to Develop Prisma Media's Position ......................................................... 30 </w:t>
        <w:br/>
        <w:t xml:space="preserve">b) The Scenario of Ceasing to Provide Program Grids of GCP Channels to Press Titles Not Belonging to the New Entity .......................................................... 31 </w:t>
        <w:br/>
        <w:t xml:space="preserve">3. ANALYSIS OF A LEVERAGE EFFECT IMPLEMENTED FROM READER MARKETS OF MAGAZINE PRESS ....................................................................................................................... 32 </w:t>
        <w:br/>
        <w:t xml:space="preserve">a) The Scenario of Offers Combining GCP Television Offers and Prisma Media Magazines or Exclusivity in Access to Prisma Media Titles .................................................. 33 </w:t>
        <w:br/>
        <w:t xml:space="preserve">b) The Scenario of Valuing the Content of GCP Channels Within Prisma Media Press Titles .......................................................................................................................... 33 </w:t>
        <w:br/>
        <w:t>c) Assessment of the Effects of the Operation on the Activities of Digital Kiosks ...................................................................................................................................... 34</w:t>
      </w:r>
    </w:p>
    <w:p>
      <w:r>
        <w:rPr>
          <w:b/>
        </w:rPr>
        <w:t>[Pages 7–9]</w:t>
      </w:r>
    </w:p>
    <w:p>
      <w:r>
        <w:t>4. ANALYSIS OF A PORTFOLIO EFFECT RESULTING FROM THE FACT THAT THE NEW ENTITY WOULD BE ABLE TO OFFER CONSUMERS A COMPREHENSIVE OFFERING OF A MULTITUDE OF CONTENT .......................................................................................................... 35</w:t>
      </w:r>
    </w:p>
    <w:p>
      <w:r>
        <w:t>I. The Companies Involved and the Transaction</w:t>
        <w:br/>
        <w:t>1. Vivendi SE is the parent company of the Vivendi group, which is active in various sectors including music (via Universal Music Group, hereinafter "UMG"), free and pay television (via Groupe Canal Plus, hereinafter "GCP"), advertising services (via Havas), publishing and book sales (via Editis), mobile video games (via Gameloft), and the creation and hosting of videos on the internet (via Dailymotion). The Vivendi group is exclusively controlled by the Bolloré group, which is also active in the transport and logistics sectors, free press (via the free daily newspaper CNews), storage, and electrical solutions.</w:t>
        <w:br/>
        <w:t>2. The target is the French magazine publishing group Prisma Media, which includes in its portfolio, among others, the titles Ça M’intéresse, Capital, Cuisine Actuelle, Femme Actuelle, Gala, Geo, National Geographic, Télé 2 Semaines, Télé-Loisirs, TV Grandes Chaînes, and Voici. Prisma Media's activities are carried out through two companies: Prisma Media SNC, which exclusively controls the companies Cerise Media and Pitcheo, and Upload Productions, an audiovisual production company whose nearly all of its revenue is generated internally with Prisma Media SNC. Prior to the transaction, the target is exclusively controlled by Bertelsmann.</w:t>
        <w:br/>
        <w:t>3. The notified transaction, formalized by a purchase agreement dated December 23, 2020, consists of the acquisition by Vivendi SE of all the capital of Prisma Media SNC and Upload Productions SASU (hereinafter, together, "the Prisma Media group" or "Prisma Media"), directly or through a company that the acquirer wholly owns.</w:t>
        <w:br/>
        <w:t>4. As it results in the exclusive control of the Prisma Media group by the Vivendi group, the notified transaction constitutes a concentration operation within the meaning of Article L. 430-1 of the Commercial Code.</w:t>
        <w:br/>
        <w:t>5. The companies involved together generate a worldwide turnover excluding taxes of more than 150 million euros (Bolloré group: 24.8 billion euros for the fiscal year ending December 31, 2019; Prisma Media: 304 million euros for the same fiscal year). Each of these companies generates in France a turnover exceeding 50 million euros (Bolloré group: 8.8 billion euros for the fiscal year ending December 31, 2019; Prisma Media: [&gt; 150] million euros for the same fiscal year). Given these turnover figures, the transaction does not have a European dimension. However, the control thresholds mentioned in I of Article L. 430-2 of the Commercial Code are exceeded. The present transaction is therefore subject to the provisions of Articles L. 430-3 and following of the Commercial Code, relating to economic concentration.</w:t>
      </w:r>
    </w:p>
    <w:p>
      <w:r>
        <w:t>II. Delimitation of Relevant Markets</w:t>
        <w:br/>
        <w:t>6. The parties are simultaneously present in the markets for publishing and book sales (A), advertising (B), operation of editorial websites (C), and readership (D). Furthermore, Vivendi is active in the market for the distribution of pay television services (E).</w:t>
        <w:br/>
        <w:t>7. It should be noted that Vivendi is also active in the markets for the sale of recorded music and downloadable video games. However, these markets do not have any connections with the markets in which the target is active, as Prisma targets end customers while, for the two aforementioned activities, Vivendi is in contact with professional clients (music resellers on one hand, and professionals who market video games on the other), except for marginal sales to consumers.</w:t>
        <w:br/>
        <w:t>A. MARKETS FOR PUBLISHING AND BOOK SALES</w:t>
        <w:br/>
        <w:t>1. PRODUCT OR SERVICE MARKETS</w:t>
        <w:br/>
        <w:t>a) Upstream Markets for the Acquisition of Rights</w:t>
        <w:br/>
        <w:t>8. Upstream in the book chain, publishers compete to acquire intellectual property rights on the content of works, namely illustrations and especially narratives. European and national competition authorities have identified, on the one hand, the market for rights to reproduce iconographic and cartographic materials, where publishers are buyers of reproduction rights from various sources, such as museums, authors' societies, geographical or archival institutes, image agencies, and, on the other hand, the market for publishing rights, where publishers purchase publishing rights for books from authors or other publishers.</w:t>
        <w:br/>
        <w:t>9. Within the market for publishing rights, the decision-making practice of competition authorities generally distinguishes between primary rights markets (for the first edition in French of a work) and secondary rights markets (for new editions in French of a work already published in French).</w:t>
        <w:br/>
        <w:t>The primary rights markets for publishing in French</w:t>
        <w:br/>
        <w:t>10. The publishing or original publishing contract is the contract by which the author assigns to a publisher the right to manufacture or have manufactured, for the first time, copies of the work, with the obligation to ensure its publication, dissemination, and distribution. This contract between an author and a publisher specifies the extent of the rights transferred, as well as the remuneration of the author.</w:t>
      </w:r>
    </w:p>
    <w:p>
      <w:r>
        <w:rPr>
          <w:b/>
        </w:rPr>
        <w:t>[Pages 10–12]</w:t>
      </w:r>
    </w:p>
    <w:p>
      <w:r>
        <w:t xml:space="preserve">c) That is to say, the payment of royalties based on the number of copies sold and possibly advances10.  </w:t>
        <w:br/>
        <w:t xml:space="preserve">11. In the primary market for publishing rights in the French language, the decision-making practice of competition authorities has established a first distinction based on the original language of the work, identifying a market for publishing rights in the French language of an original work in French ("French rights market") and a market for publishing rights in the French language of an original work in a foreign language ("foreign rights market")11.  </w:t>
        <w:br/>
        <w:t xml:space="preserve">12. Furthermore, the decision-making practice of competition authorities has established a distinction based on the category of books. Indeed, publishing rights only pertain to individual works, for which competition among publishing houses occurs, whereas for collective works12, the acquisition of rights is rare13. Only general literature books, children's books, comic books, and academic and professional works constitute individual works subject to the acquisition of publishing rights. However, for these four categories of books:  </w:t>
        <w:br/>
        <w:t xml:space="preserve">(i) the authors are not the same (for example, illustrators for comic books and typically practitioners or professors for academic and professional works),  </w:t>
        <w:br/>
        <w:t xml:space="preserve">(ii) publishing houses are generally specialized in a type of work, and  </w:t>
        <w:br/>
        <w:t xml:space="preserve">(iii) the amounts of proportional remuneration and advances are generally not identical across categories of works (a ratio of 1 to 10 between the advance paid to an author of children's books and that paid to an author of general literature).  </w:t>
        <w:br/>
        <w:t xml:space="preserve">13. The question of the existence of a distinct market for digital rights has also been left open14, although a market test conducted by the European Commission revealed that, in the vast majority of cases, digital rights and "paper" rights are acquired together by publishers and therefore belong to the same product market15.  </w:t>
        <w:br/>
        <w:t xml:space="preserve">14. In this case, there is no reason to challenge the segmentations of the primary markets for publishing rights in the French language.  </w:t>
        <w:br/>
        <w:t xml:space="preserve">The secondary markets for publishing rights in the French language  </w:t>
        <w:br/>
        <w:t xml:space="preserve">15. Once the book is published for the first time in French, it may be subject to new transfers of rights for reissues, primarily according to two different modes:  </w:t>
        <w:br/>
        <w:t xml:space="preserve">- reissues in paperback format: when a large format book has experienced a certain success, its publisher may decide to exploit the rights in paperback format, either internally if they have a paperback collection, or by transferring their rights to a paperback publisher;  </w:t>
        <w:br/>
        <w:t xml:space="preserve">- reissues in club format: in this case, publishers of a large format work transfer to book clubs the rights to manufacture or have it manufactured, publish, and distribute it remotely, by mail, brokerage, or subscription, with limited exclusivity in time; in return, the book club pays the large format publisher marketing rights in club format, with a guaranteed minimum.  </w:t>
        <w:br/>
        <w:t xml:space="preserve">16. Decision-making practice16 has considered that the secondary market for publishing rights should be segmented according to these two reissue formats, given the existence of notable differences between them, particularly in terms of:  </w:t>
        <w:br/>
        <w:t xml:space="preserve">(i) scope of distribution (limited distribution to a predetermined audience of club members compared to the wide distribution to the general public of a paperback collection),  </w:t>
        <w:br/>
        <w:t xml:space="preserve">(ii) amounts of royalties, or  </w:t>
        <w:br/>
        <w:t xml:space="preserve">(iii) identity of the actors.  </w:t>
        <w:br/>
        <w:t xml:space="preserve">17. In this case, there is no reason to challenge the segmentations of the secondary markets for publishing rights in the French language.  </w:t>
        <w:br/>
        <w:t xml:space="preserve">b) Intermediate Markets for Broadcasting and Distribution Services  </w:t>
        <w:br/>
        <w:t xml:space="preserve">Broadcasting Services  </w:t>
        <w:br/>
        <w:t xml:space="preserve">18. Broadcasting primarily consists of marketing publishers' works to various categories of book retailers, through visits from representatives tasked with presenting upcoming books and promoting their sale.  </w:t>
        <w:br/>
        <w:t xml:space="preserve">19. Competition authorities have segmented the market for broadcasting services according to the category of retailers, distinguishing:  </w:t>
        <w:br/>
        <w:t xml:space="preserve">(i) level 1 bookstores (large bookstores and large specialized book sales outlets) and level 2 bookstores (neighborhood bookstores),  </w:t>
        <w:br/>
        <w:t xml:space="preserve">(ii) hypermarkets, and  </w:t>
        <w:br/>
        <w:t xml:space="preserve">(iii) wholesalers, who are responsible for marketing books to non-specialized retailers ("level 3 retailers"), such as supermarkets, press distributors, gas stations, etc.17  </w:t>
        <w:br/>
        <w:t xml:space="preserve">20. This segmentation is justified by the existence of notable differences in the functioning of broadcasting according to the category of retailers (different services depending on the type of retailer, variations in broadcasting costs, organization of broadcasting companies by retailer level, categories of books distributed varying according to the distribution channel).  </w:t>
        <w:br/>
        <w:t xml:space="preserve">21. The Authority has left open the question of the existence of a fourth segment within the market for broadcasting services for online retailers (or "e-retailers")18. The question of the existence of a distinct market for the broadcasting of digital books has also been left open19.  </w:t>
        <w:br/>
        <w:t xml:space="preserve">22. The question of the exact delineation of broadcasting service markets can be left open, as the conclusions of the competitive analysis remain unchanged, regardless of the segmentation adopted.  </w:t>
        <w:br/>
        <w:t xml:space="preserve">Distribution Services  </w:t>
        <w:br/>
        <w:t xml:space="preserve">23. Distribution encompasses all logistical operations related to the provision of books to customers, from ordering to invoicing, including the management of returns.  </w:t>
        <w:br/>
        <w:t xml:space="preserve">24. Competition authorities have determined that the market for distribution services should not be segmented, either by retailer level or by type of works distributed, as the logistical services are relatively uniform20. A market for digital book distribution services has been considered21.  </w:t>
        <w:br/>
        <w:t xml:space="preserve">25. However, the question of the exact delineation of distribution service markets can be left open, as the conclusions of the competitive analysis remain unchanged, regardless of the segmentation adopted.  </w:t>
        <w:br/>
        <w:t xml:space="preserve">c) Downstream Markets for the Sale of Books by Publishers to Retailers  </w:t>
        <w:br/>
        <w:t xml:space="preserve">26. Works are subject to an initial sale, upstream, between publishers and retailers (bookstores, hypermarkets, etc.), with the latter being compensated by the discount granted by publishers on the final sale price, followed by a second sale, downstream, between these retailers and consumers (the readers). In this case, the parties are not active in the downstream market for the sale of books to the final consumer22.  </w:t>
        <w:br/>
        <w:t xml:space="preserve">27. Regarding the sale of books by publishers to retailers, decision-making practice notes that, even if the marketing and distribution of books often occur through intermediaries, the distributors, this does not mean that publishers lose control over the commercial conditions offered to retailers. On the contrary, publishers retain the ability to continuously modify the general conditions established by their distributor, particularly the conditions governing discounts to retailers. This market is thus characterized by the meeting of an offer constituted by publishers and a demand emanating from retailers.  </w:t>
        <w:br/>
        <w:t xml:space="preserve">28. Competition authorities believe, from both the supply and demand perspectives, that a segmentation of the market for the sale of books by publishers to retailers, according to types of retailers, should be made23. Indeed, there are differences between the three types of retailers (bookstores, hypermarkets, and wholesalers):  </w:t>
        <w:br/>
        <w:t>(i) in terms of revenue generated by type of retailer,</w:t>
      </w:r>
    </w:p>
    <w:p>
      <w:r>
        <w:rPr>
          <w:b/>
        </w:rPr>
        <w:t>[Pages 13–15]</w:t>
      </w:r>
    </w:p>
    <w:p>
      <w:r>
        <w:t xml:space="preserve">(ii) in terms of sales conditions and discount levels, according to the category of retailers, and  </w:t>
        <w:br/>
        <w:t xml:space="preserve">(iii) due to specific barriers to access for hypermarkets and wholesalers compared to bookstores (thus, to be referenced by the purchasing centers of hypermarkets, a publisher must have a certain reputation, with the number of referenced publishers being limited).  </w:t>
        <w:br/>
        <w:t xml:space="preserve">29. Finally, competition authorities consider that the sale of books by publishers to retailers should be segmented according to the major categories of books, taking into account the differences in the level of discounts granted to retailers, the presence of publishers specialized in certain categories of books, different production and print conditions, and the specialization of certain retailers in specific categories of works. The following categories have been retained: (i) general literature books (category subdivided into large format and paperback), (ii) children's books, (iii) art books, (iv) practical books, (v) comic books, (vi) educational books, a category subdivided into school books and extracurricular books, (vii) university and professional books, (viii) reference works, a category subdivided into several segments, and (ix) booklets24.  </w:t>
        <w:br/>
        <w:t xml:space="preserve">30. The existence of a distinct segment concerning the sale of digital books has also been considered25.  </w:t>
        <w:br/>
        <w:t xml:space="preserve">31. The question of the exact delineation of the markets for the sale of books by publishers to retailers can, however, be left open, as the conclusions of the competitive analysis remain unchanged, regardless of the segmentation adopted.  </w:t>
        <w:br/>
        <w:t xml:space="preserve">2. GEOGRAPHIC MARKETS  </w:t>
        <w:br/>
        <w:t xml:space="preserve">a) Upstream Markets for the Acquisition of Rights  </w:t>
        <w:br/>
        <w:t xml:space="preserve">32. The decision-making practice of competition authorities has considered that the various upstream markets for the acquisition of publishing rights are of a global dimension26. Regarding the primary markets for French-language publishing rights of an original work in French, they noted that publishers do not pay attention to the nationality of the author when selecting a work, the criterion being essentially linguistic, and that the acquisition of publishing rights for works in French by publishers covers all rights in French, without restriction by country. Regarding other publishing rights markets, it has been noted that French-speaking publishers from different countries compete for the acquisition of French-language publishing rights and that the transfers of each category of rights generally cover all rights in French, without restriction by country.  </w:t>
        <w:br/>
        <w:t xml:space="preserve">33. In this case, there is no reason to challenge the global dimension of these markets.  </w:t>
        <w:br/>
        <w:t xml:space="preserve">24 Ibid.  </w:t>
        <w:br/>
        <w:t xml:space="preserve">25 See the decision of the Competition Authority n° 17-DCC-208 cited above.  </w:t>
        <w:br/>
        <w:t xml:space="preserve">26 See the decisions of the European Commission COMP/M.2978, COMP/M.4611, the decision of the Competition Authority n° 12-DCC-126, and the letters from the minister dated March 22, 2004, and May 30, 2006, cited above.  </w:t>
        <w:br/>
        <w:t xml:space="preserve">b) Intermediate Markets for Broadcasting and Distribution Services  </w:t>
        <w:br/>
        <w:t xml:space="preserve">34. Competition authorities have considered that the markets for broadcasting and distribution services have a dimension corresponding to the French-speaking area of the European Union (France, French-speaking Belgium, and Luxembourg), with the question of including French-speaking Switzerland in the market left open27.  </w:t>
        <w:br/>
        <w:t xml:space="preserve">35. The question of the exact delineation of these markets can, however, be left open, as the conclusions of the competitive analysis remain unchanged, regardless of the segmentation adopted.  </w:t>
        <w:br/>
        <w:t xml:space="preserve">c) Downstream Markets for the Sale of Books by Publishers to Retailers  </w:t>
        <w:br/>
        <w:t xml:space="preserve">36. Regarding the markets for the sale of books by publishers to retailers28 and the sale of books by wholesalers to level 3 retailers, competition authorities have retained a supranational dimension covering at least the French-speaking linguistic area of the European Union, with the possible inclusion of French-speaking Switzerland29.  </w:t>
        <w:br/>
        <w:t xml:space="preserve">37. In this case, there is no reason to challenge this market delineation.  </w:t>
        <w:br/>
        <w:t xml:space="preserve">* * *  </w:t>
        <w:br/>
        <w:t xml:space="preserve">38. In this case, in the upstream markets, Prisma Media is active, via Éditions Prisma, in the primary markets for French publishing rights of general literature books and comic books. In the markets for re-publication rights, Prisma Media is marginally active in sales. It is not active in purchasing.  </w:t>
        <w:br/>
        <w:t xml:space="preserve">39. The Vivendi group, via Editis, is present in the primary markets for French rights of general literature titles, children's books, comic books (manga only), and university and professional works.  </w:t>
        <w:br/>
        <w:t xml:space="preserve">40. Finally, Vivendi, via Editis, is active in purchasing in the market for re-publication rights in paperback format and in selling in the market for re-publication rights in club format.  </w:t>
        <w:br/>
        <w:t xml:space="preserve">41. In the intermediate markets, the Vivendi group is active in the markets for broadcasting and distribution services via Interforum, a subsidiary of Editis. Prisma Media operates in these markets as a demander of such services.  </w:t>
        <w:br/>
        <w:t xml:space="preserve">42. In the downstream markets, Prisma Media, via Éditions Prisma, is marginally present in the markets for the sale to all retailers of general literature books in large format, comic books, art books, and practical books.  </w:t>
        <w:br/>
        <w:t xml:space="preserve">43. The Vivendi group – via Editis – is present in the markets for the sale of physical books to different types of retailers. It sells to these various retailers all the major categories of books identified in the decision-making practice, with the exception of booklets and heavy reference works (i.e., reference works of more than three volumes).  </w:t>
        <w:br/>
        <w:t xml:space="preserve">27 Ibid.  </w:t>
        <w:br/>
        <w:t xml:space="preserve">28 Excluding the markets for the sale of school books and university and professional books, for which a national definition has been retained by the decision-making practice.  </w:t>
        <w:br/>
        <w:t xml:space="preserve">29 See the decisions of the European Commission COMP/M.2978, COMP/M.4611, the decision of the Competition Authority n° 12-DCC-126, and the letters from the minister dated March 22, 2004, and May 30, 2006, cited above.  </w:t>
        <w:br/>
        <w:t xml:space="preserve">44. Éditions Prisma and Editis are also present in the downstream market segment for the sale of digital books to retailers (mainly to Amazon and Fnac-Darty groups).  </w:t>
        <w:br/>
        <w:t xml:space="preserve">B. ADVERTISING MARKETS  </w:t>
        <w:br/>
        <w:t xml:space="preserve">1. MARKETS FOR THE SALE OF ADVERTISING SPACE  </w:t>
        <w:br/>
        <w:t xml:space="preserve">45. The decision-making practice of competition authorities considers that there are as many markets for the sale of advertising space as there are media supports30. Indeed, depending on the type of media chosen (television, print, online, etc.), the target audience can vary significantly. The costs and techniques for producing and disseminating messages also differ greatly.  </w:t>
        <w:br/>
        <w:t xml:space="preserve">a) Product or Service Markets  </w:t>
        <w:br/>
        <w:t xml:space="preserve">46. In this case, the parties are active in the markets for online advertising, in print media, and in television advertising.  </w:t>
        <w:br/>
        <w:t xml:space="preserve">Online  </w:t>
        <w:br/>
        <w:t xml:space="preserve">47. The decision-making practice of competition authorities recognizes the existence of a specific market for online advertising31.  </w:t>
        <w:br/>
        <w:t xml:space="preserve">48. It has also distinguished the sale of online advertising space (i) according to their selection mode (search-related ads or not) and (ii) according to their visual appearance (text ads or other formats, such as graphical displays).  </w:t>
        <w:br/>
        <w:t xml:space="preserve">49. The European Commission has also considered distinguishing online advertising intended for fixed terminals (computers) and that intended for mobile terminals (phones, tablets)32.  </w:t>
        <w:br/>
        <w:t xml:space="preserve">50. The question of the exact delineation of these markets can, however, be left open, as the conclusions of the competitive analysis remain unchanged, regardless of the segmentation adopted.  </w:t>
        <w:br/>
        <w:t xml:space="preserve">Print Media  </w:t>
        <w:br/>
        <w:t>51. The decision-making practice of competition authorities has considered that the market for advertising in print media should be segmented according to the category of the media title: (i) national daily press, (ii) regional daily press, (iii) magazine press, (iv) press</w:t>
      </w:r>
    </w:p>
    <w:p>
      <w:r>
        <w:rPr>
          <w:b/>
        </w:rPr>
        <w:t>[Pages 16–18]</w:t>
      </w:r>
    </w:p>
    <w:p>
      <w:r>
        <w:t>free press, and (v) specialized press. Within free press, it distinguishes between free press with editorial content (or free information press) and free advertising press. A finer segmentation has also been considered between real estate advertisements and job offers.</w:t>
      </w:r>
    </w:p>
    <w:p>
      <w:r>
        <w:t>52. Competition authorities have also considered distinguishing the market for financial advertising from that of commercial advertising.</w:t>
      </w:r>
    </w:p>
    <w:p>
      <w:r>
        <w:t>53. The question of the exact delineation of these markets can, however, be left open, as the conclusions of the competitive analysis remain unchanged, regardless of the segmentation adopted.</w:t>
      </w:r>
    </w:p>
    <w:p>
      <w:r>
        <w:t>Television</w:t>
      </w:r>
    </w:p>
    <w:p>
      <w:r>
        <w:t>54. Competition authorities consider that the market for television advertising is distinct from other advertising markets.</w:t>
      </w:r>
    </w:p>
    <w:p>
      <w:r>
        <w:t>55. There is no reason to challenge this market delineation within the framework of this decision.</w:t>
      </w:r>
    </w:p>
    <w:p>
      <w:r>
        <w:t>b) Geographic Markets</w:t>
      </w:r>
    </w:p>
    <w:p>
      <w:r>
        <w:t>Online</w:t>
      </w:r>
    </w:p>
    <w:p>
      <w:r>
        <w:t>56. Competition authorities consider that the geographic dimension of online advertising markets is national.</w:t>
      </w:r>
    </w:p>
    <w:p>
      <w:r>
        <w:t>57. There is no reason to challenge these market delineations within the framework of this decision.</w:t>
      </w:r>
    </w:p>
    <w:p>
      <w:r>
        <w:t>Print Media</w:t>
      </w:r>
    </w:p>
    <w:p>
      <w:r>
        <w:t>58. The geographic delineation of these markets corresponds to the distribution area of the publication.</w:t>
      </w:r>
    </w:p>
    <w:p>
      <w:r>
        <w:t>59. There is no reason to challenge these market delineations within the framework of this decision.</w:t>
      </w:r>
    </w:p>
    <w:p>
      <w:r>
        <w:t>Television</w:t>
      </w:r>
    </w:p>
    <w:p>
      <w:r>
        <w:t>60. The geographic dimension of the television advertising market is national, due to linguistic and cultural barriers, except in the case of local television advertising, for which the dimension would correspond to the television broadcast area.</w:t>
      </w:r>
    </w:p>
    <w:p>
      <w:r>
        <w:t>61. There is no reason to challenge this market delineation within the framework of this decision.</w:t>
      </w:r>
    </w:p>
    <w:p>
      <w:r>
        <w:t>* * *</w:t>
      </w:r>
    </w:p>
    <w:p>
      <w:r>
        <w:t>62. In this case, Vivendi is active, as a provider, in the French market for the sale of online advertising space, on television, and in free press. Prisma Media is active, as a provider, in the markets for the sale of online advertising space and in magazine press. The parties are also active, as demanders, in these various markets.</w:t>
      </w:r>
    </w:p>
    <w:p>
      <w:r>
        <w:t>2. MARKETS FOR AD SPACE PURCHASE SERVICES AND MARKETING AND COMMUNICATION SERVICES</w:t>
      </w:r>
    </w:p>
    <w:p>
      <w:r>
        <w:t>a) Product or Service Markets</w:t>
      </w:r>
    </w:p>
    <w:p>
      <w:r>
        <w:t>Ad Space Purchase Services</w:t>
      </w:r>
    </w:p>
    <w:p>
      <w:r>
        <w:t>63. The European Commission has identified a market for the provision of ad space purchase services, which consists of purchasing advertising space in various media for the advertising campaigns of advertisers. This market has been segmented based on the size of clients and the inclusion or not of direct sales.</w:t>
      </w:r>
    </w:p>
    <w:p>
      <w:r>
        <w:t>64. There is no reason to challenge this market delineation within the framework of this decision.</w:t>
      </w:r>
    </w:p>
    <w:p>
      <w:r>
        <w:t>Marketing and Commercial Communication Services</w:t>
      </w:r>
    </w:p>
    <w:p>
      <w:r>
        <w:t>65. The European Commission has considered that the market for marketing and commercial communication services is distinct from the markets for media ad space purchase services, as it includes various services, notably marketing, analysis and consulting, public relations, and customer relationship management.</w:t>
      </w:r>
    </w:p>
    <w:p>
      <w:r>
        <w:t>66. It has further considered that the market does not need to be segmented according to the services concerned, the type of media, the sector, or the size of clients.</w:t>
      </w:r>
    </w:p>
    <w:p>
      <w:r>
        <w:t>67. There is no reason to challenge this market delineation within the framework of this decision.</w:t>
      </w:r>
    </w:p>
    <w:p>
      <w:r>
        <w:t>b) Geographic Markets</w:t>
      </w:r>
    </w:p>
    <w:p>
      <w:r>
        <w:t>Ad Space Purchase Services</w:t>
      </w:r>
    </w:p>
    <w:p>
      <w:r>
        <w:t>68. The European Commission has considered a national dimension, while leaving the question of the exact delineation of the market for the provision of ad space purchase services open.</w:t>
      </w:r>
    </w:p>
    <w:p>
      <w:r>
        <w:t>69. In this case, the question of the exact delineation of this market can be left open, as the conclusions of the competitive analysis remain unchanged, regardless of the segmentation adopted.</w:t>
      </w:r>
    </w:p>
    <w:p>
      <w:r>
        <w:t>Marketing and Commercial Communication Services</w:t>
      </w:r>
    </w:p>
    <w:p>
      <w:r>
        <w:t>70. The European Commission has considered that the market for marketing and commercial communication services has a national dimension.</w:t>
      </w:r>
    </w:p>
    <w:p>
      <w:r>
        <w:t>71. There is no reason to challenge this market delineation within the framework of this decision.</w:t>
      </w:r>
    </w:p>
    <w:p>
      <w:r>
        <w:t>* * *</w:t>
      </w:r>
    </w:p>
    <w:p>
      <w:r>
        <w:t>72. In this case, Vivendi is active in the French market for ad space purchase services and in the market for marketing and commercial communication services through Havas. Prisma Media is also active in these two markets as a demander of such services. The target is also active in the market for marketing and commercial communication services, albeit marginally.</w:t>
      </w:r>
    </w:p>
    <w:p>
      <w:r>
        <w:t>C. MARKETS FOR THE OPERATION OF EDITORIAL WEBSITES</w:t>
      </w:r>
    </w:p>
    <w:p>
      <w:r>
        <w:t>1. PRODUCT OR SERVICE MARKETS</w:t>
      </w:r>
    </w:p>
    <w:p>
      <w:r>
        <w:t>73. The Authority considers that editorial websites, which constitute an extension of the print version of publications (or "companion sites"), form a distinct market from websites dedicated to specific themes, such as classified ad sites (general ads, real estate, employment).</w:t>
      </w:r>
    </w:p>
    <w:p>
      <w:r>
        <w:t>74. However, editorial sites linked to a print publication compete with websites related to other media (television or radio) and websites of specialized online press actors.</w:t>
      </w:r>
    </w:p>
    <w:p>
      <w:r>
        <w:rPr>
          <w:b/>
        </w:rPr>
        <w:t>[Pages 19–21]</w:t>
      </w:r>
    </w:p>
    <w:p>
      <w:r>
        <w:t xml:space="preserve">75. Within the category of "companion" sites, a segmentation has been considered based on the type of information published on the sites (political and general news information or economic and financial information) or the theme addressed47.  </w:t>
        <w:br/>
        <w:t xml:space="preserve">76. The question of the exact delineation of these markets can, however, be left open, as the conclusions of the competitive analysis remain unchanged, regardless of the segmentation adopted.  </w:t>
        <w:br/>
        <w:t xml:space="preserve">2. GEOGRAPHIC MARKETS  </w:t>
        <w:br/>
        <w:t xml:space="preserve">77. Regarding the geographic delineation of the markets for the operation of online editorial sites, the Authority considers that it is at least of national dimension48.  </w:t>
        <w:br/>
        <w:t xml:space="preserve">78. There is no need to call into question these market delineations within the framework of this decision.  </w:t>
        <w:br/>
        <w:t xml:space="preserve">* * *  </w:t>
        <w:br/>
        <w:t xml:space="preserve">79. In this case, the Prisma Media group is present in the markets for the operation of editorial websites through the websites associated with its various press titles and those of its 100% online brands Gentside and Oh! My Mag. The Vivendi group is only marginally active in this market through cnews.fr.  </w:t>
        <w:br/>
        <w:t xml:space="preserve">80. The parties are each active in segments identified as distinct by the decision-making practice of the Authority: the publishing of sites dedicated to specific themes outside of information, for Prisma Media, and the publishing of news information sites on political and general news, for the site cnews.fr, which is linked to the free daily newspaper CNews. However, some titles of Prisma Media may be associated with the market for the publishing of political news information sites (for example, capital.fr and businessinsider.fr), and any potential horizontal effects that may result from the operation in this segment will nevertheless be analyzed.  </w:t>
        <w:br/>
        <w:t xml:space="preserve">D. READER MARKETS  </w:t>
        <w:br/>
        <w:t xml:space="preserve">81. Competition authorities consider that the printed press constitutes a distinct market from other traditional media (television, radio, etc.), particularly because the latter do not offer an analysis of information as broad and in-depth as that of the printed press. In light of the evolution of the sector, the Authority has considered including in the market the websites of press titles, as well as online specialized players (such as, for example, Mediapart or HuffPost) and "information aggregators" (such as, for example, Yahoo! News)49.  </w:t>
        <w:br/>
        <w:t xml:space="preserve">47 Decisions of the Competition Authority n° 10-DCC-129, n° 13-DCC-150, n° 15-DCC-63, n° 15-DCC-66, n° 15-DCC-139, n° 17-DCC-76 and n° 18-DCC-63 cited above.  </w:t>
        <w:br/>
        <w:t xml:space="preserve">48 Ibid.  </w:t>
        <w:br/>
        <w:t xml:space="preserve">49 See the decisions of the Competition Authority n° 15-DCC-139 and n° 15-DCC-189 cited above, and the decision of the Competition Authority n° 19-DCC-141 of July 24, 2019, regarding the exclusive control of Mondadori France by Reworld Media.  </w:t>
        <w:br/>
        <w:t xml:space="preserve">82. Within the printed press sector, the Authority makes a distinction between national daily press, regional daily press, magazine press, free press, and specialized press50.  </w:t>
        <w:br/>
        <w:t xml:space="preserve">83. For each type of press, a specific readership market is considered51 (alongside a market for the sale of advertising space and the sale of classified ads).  </w:t>
        <w:br/>
        <w:t xml:space="preserve">84. In this case, the target is active in the readership market for magazine press. Vivendi is active in the free press market, as the publisher of the title CNews. However, given the free nature of this title, no conglomerate effect is likely to result from the presence of the acquirer in the readership market for free press, particularly due to the impossibility of directly implementing a bundling strategy between this title and those of the acquirer. The readership market for free press is therefore not affected by the operation.  </w:t>
        <w:br/>
        <w:t xml:space="preserve">1. PRODUCT OR SERVICE MARKETS  </w:t>
        <w:br/>
        <w:t xml:space="preserve">85. Competition authorities distinguish different markets within magazine press, based on the type of information highlighted, style, presentation, periodicity, commercial policy (subscription or single issue sales), price, and characteristics of readers (gender, age, socio-professional category, income, and residence).  </w:t>
        <w:br/>
        <w:t xml:space="preserve">86. The magazine press is thus segmented into weekly political and general news magazines, television weeklies, women's magazines, economic and financial magazines, general public specialized publications, and professional specialized publications52.  </w:t>
        <w:br/>
        <w:t xml:space="preserve">87. Within general public specialized publications, competition authorities have distinguished magazines dedicated to (i) home, (ii) music, and (iii) computing53. A finer segmentation of home magazines has been considered, between, on the one hand, magazines dedicated to home decoration and, on the other hand, magazines dedicated to gardening or swimming pools.  </w:t>
        <w:br/>
        <w:t xml:space="preserve">88. The Authority has also considered the existence of distinct markets for sports magazines54 and children's magazines55.  </w:t>
        <w:br/>
        <w:t xml:space="preserve">89. A distinct market for automotive magazine press, segmented between specialized press and specialized press, has also been identified56.  </w:t>
        <w:br/>
        <w:t xml:space="preserve">90. The question of the exact delineation of these markets can, however, be left open, as the conclusions of the competitive analysis remain unchanged, regardless of the segmentation adopted.  </w:t>
        <w:br/>
        <w:t xml:space="preserve">50 See the decisions of the Competition Authority n° 15-DCC-139, n° 15-DCC-189, n° 17-DCC-76 and n° 18-DCC-63 cited above.  </w:t>
        <w:br/>
        <w:t xml:space="preserve">51 Ibid.  </w:t>
        <w:br/>
        <w:t xml:space="preserve">52 See the letter from the Minister of Economy, Finance and Employment C2007-152 of January 23, 2008, to the boards of Hachette Filipacchi Médias regarding a concentration in the press sector and the decisions of the Competition Authority n° 10-DCC-129, n° 14-DCC-76 and n° 15-DCC-66 cited above.  </w:t>
        <w:br/>
        <w:t xml:space="preserve">53 See the letter from the Minister of Economy C2006-86, of Finance and Industry of September 19, 2006, to the board of Roularta Media Group regarding a concentration in the magazine press sector.  </w:t>
        <w:br/>
        <w:t xml:space="preserve">54 See the decision of the Competition Authority n° 15-DCC-189 cited above.  </w:t>
        <w:br/>
        <w:t xml:space="preserve">55 See the letter from the Minister of Economy to the boards of Bayard Presse on February 11, 2004, regarding a concentration in the youth press sector.  </w:t>
        <w:br/>
        <w:t xml:space="preserve">56 See the decision of the European Commission COMP/M.3648 Gruner+Jahr/MPS of April 8, 2005, and the decision of the Competition Authority n° 19-DCC-141 cited above.  </w:t>
        <w:br/>
        <w:t xml:space="preserve">2. GEOGRAPHIC MARKETS  </w:t>
        <w:br/>
        <w:t xml:space="preserve">91. According to the decision-making practice of competition authorities, the geographic dimension of readership markets corresponds to the distribution area of magazines, which can be of national, regional, departmental, or sub-departmental dimension.  </w:t>
        <w:br/>
        <w:t xml:space="preserve">92. There is no need to call into question these market delineations within the framework of this decision.  </w:t>
        <w:br/>
        <w:t xml:space="preserve">* * *  </w:t>
        <w:br/>
        <w:t xml:space="preserve">93. In this case, only Prisma Media is active in the readership market for magazine press, more specifically in the segments of television magazines, economic and financial magazines, women's magazines, and general public magazines, through the following titles: Business Insider France, Ça M’intéresse, Capital, Cuisine Actuelle, Femme Actuelle, Femme Actuelle Senior, Flow, Gala, Geo, Harvard Business Review, Management, National Geographic, Néon, Prima, Télé 2 Semaines, Télé-Loisirs, TV Grandes Chaînes, and Voici.  </w:t>
        <w:br/>
        <w:t xml:space="preserve">E. MARKETS FOR THE DISTRIBUTION OF PAY TELEVISION SERVICES  </w:t>
        <w:br/>
        <w:t xml:space="preserve">1. PRODUCT OR SERVICE MARKETS  </w:t>
        <w:br/>
        <w:t xml:space="preserve">94. The decision-making practice57 regarding the delineation of markets for the distribution of television services, both national and European, distinguishes the market for pay television from that of free television, particularly due to the different funding methods of these two types of television. Indeed, pay television establishes a commercial relationship between the television distributor and the viewer, while free television establishes such a relationship only between the television distributor and the advertising advertisers. These two offers are therefore not substitutable in the eyes of consumers.  </w:t>
        <w:br/>
        <w:t xml:space="preserve">95. Regarding distribution platforms, the decision-making practice has not considered it relevant to distinguish between television services based on their technical distribution platform (ADSL, fiber, cable, satellite, DTT, OTT)58.  </w:t>
        <w:br/>
        <w:t xml:space="preserve">96. Furthermore, the Authority, in its previous decision-making practice, has considered that only the second-level59 offers of internet service providers (ISPs) were likely to exert competitive pressure on the GCP offers in the downstream market, excluding the first-level60 offers of these same ISPs. However, the precise delineation of the relevant market has been left open.  </w:t>
        <w:br/>
        <w:t xml:space="preserve">57 See the decisions of the Competition Authority n° 12-DCC-100 of July 23, 2012, regarding the exclusive control of TPS and CanalSatellite by Vivendi and Groupe Canal Plus, n° 17-DCC-92 of June 22, 2017, concerning the review of the injunctions of decision n° 12-DCC-100 regarding the exclusive control of TPS and CanalSatellite by Vivendi SA and Groupe Canal Plus, and n° 19-DCC-157 of August 12, 2019, regarding the creation of a joint venture by France Télévisions, TF1, and Métropole Télévision.  </w:t>
        <w:br/>
        <w:t xml:space="preserve">58 Ibid.  </w:t>
        <w:br/>
        <w:t xml:space="preserve">59 Pay television services published by ISPs in the form of packages to which the subscriber subscribes for an additional charge compared to the basic television offer.  </w:t>
        <w:br/>
        <w:t>60 Pay television services included in the basic television offer of ISPs.</w:t>
      </w:r>
    </w:p>
    <w:p>
      <w:r>
        <w:rPr>
          <w:b/>
        </w:rPr>
        <w:t>[Pages 22–24]</w:t>
      </w:r>
    </w:p>
    <w:p>
      <w:r>
        <w:t xml:space="preserve">97. Furthermore, decision-making practice considers that the distribution of pay television services to professionals constitutes a distinct market.  </w:t>
        <w:br/>
        <w:t xml:space="preserve">98. Decision-making practice also distinguishes the distribution of non-linear video on demand (VoD) services and subscription video on demand (SVoD) services from the distribution of linear pay television services, even though the Authority has noted, in its most recent decision-making practice, the existence of a convergence between linear and non-linear television. Within non-linear video services, the Authority has further considered it relevant to distinguish the distribution of VoD services from the distribution of SVoD services.  </w:t>
        <w:br/>
        <w:t xml:space="preserve">99. The question of the exact delineation of these markets can, however, be left open, as the conclusions of the competitive analysis remain unchanged, regardless of the segmentation adopted.  </w:t>
        <w:br/>
        <w:t xml:space="preserve">2. GEOGRAPHIC MARKETS  </w:t>
        <w:br/>
        <w:t xml:space="preserve">100. Regarding the geographic delineation, decision-making practice considers that the markets for the distribution of pay television services should be understood distinctly concerning, on the one hand, the mainland and, on the other hand, the overseas departments and regions.  </w:t>
        <w:br/>
        <w:t xml:space="preserve">101. There is no need to challenge these market delineations within the framework of this decision.  </w:t>
        <w:br/>
        <w:t xml:space="preserve">* * *  </w:t>
        <w:br/>
        <w:t xml:space="preserve">102. In this case, only the Vivendi group is active in the sectors of pay and free television through Groupe Canal Plus, a wholly-owned subsidiary of Vivendi SE.  </w:t>
        <w:br/>
        <w:t xml:space="preserve">III. Competitive Analysis  </w:t>
        <w:br/>
        <w:t xml:space="preserve">103. The operation results in a horizontal overlap of activities between the parties in the markets for publishing and selling books, advertising, and operating editorial news websites (A).  </w:t>
        <w:br/>
        <w:t xml:space="preserve">104. Furthermore, it is likely to generate vertical (B) and conglomerate (C) effects, given the parties' activities in the audiovisual, advertising, and literary value chains.  </w:t>
        <w:br/>
        <w:t xml:space="preserve">61 See the opinion of the Competition Authority No. 19-A-04 of February 21, 2019, regarding a request for an opinion from the Cultural Affairs and Education Committee of the National Assembly in the audiovisual sector and the decision of the Competition Authority No. 19-DCC-157 cited above.  </w:t>
        <w:br/>
        <w:t xml:space="preserve">A. ANALYSIS OF HORIZONTAL EFFECTS  </w:t>
        <w:br/>
        <w:t xml:space="preserve">105. The horizontal effects of the operation will be analyzed successively in the markets for publishing and selling books (1), advertising (2), and operating editorial news websites (3).  </w:t>
        <w:br/>
        <w:t xml:space="preserve">1. MARKETS FOR PUBLISHING AND SELLING BOOKS  </w:t>
        <w:br/>
        <w:t xml:space="preserve">a) On the upstream markets for the acquisition of rights  </w:t>
        <w:br/>
        <w:t xml:space="preserve">106. In the upstream markets for the acquisition of rights, the activities of the parties overlap due to the simultaneous activity of Editis (Vivendi) and Prisma Media.  </w:t>
        <w:br/>
        <w:t xml:space="preserve">107. In the global market for the acquisition of reproduction rights for images and maps, the market share of the new entity is estimated by the notifying party to be 1%.  </w:t>
        <w:br/>
        <w:t xml:space="preserve">108. In the market for the acquisition of primary publishing rights in the French language for original works in French and foreign languages, the calculation of market shares of the various operators can notably be made, according to decision-making practice, based on the number and volume of works present among the best-selling titles during a given year, for each party to the operation. Regarding the 200 best-selling titles of general literature in original French published in France in 2020, Editis held a market share of [10-20]% ([10-20]% in sales volume). No title whose rights were held by Prisma Media was included in these 200 works. Taking the 200 best-selling titles of general literature in original foreign languages published in France in 2020, Editis's market share was [10-20]% ([10-20]% in sales volume). Two titles whose rights were held by Prisma Media were included in this ranking in 2020, representing a market share of [0-5]% ([0-5]% in sales volume). Finally, regarding the top 200 comic book titles, only Editis held, in 2020, rights to titles appearing in the ranking. These represented a market share of [0-5]% ([0-5]% in sales volume).  </w:t>
        <w:br/>
        <w:t xml:space="preserve">109. Furthermore, the competitors of the parties are numerous in this market and include the main French-speaking publishers (for example, Hachette, Albin Michel, Actes Sud, etc.).  </w:t>
        <w:br/>
        <w:t xml:space="preserve">110. In the market for the acquisition of reprint rights in club format, the market share of the new entity is estimated by the notifying party to be [20-30]%, with an addition of market share resulting from the operation of less than 1 point. The competitors of the parties are numerous in this market and include France Loisirs (Actissia).  </w:t>
        <w:br/>
        <w:t xml:space="preserve">111. Consequently, given the limited market share of the new entity in these markets, the very low addition of market share resulting from the operation, and the presence of significant competitors, any risk of horizontal effect in the upstream markets for the acquisition of rights related to the operation can be ruled out.  </w:t>
        <w:br/>
        <w:t xml:space="preserve">b) On the downstream markets for selling books to retailers  </w:t>
        <w:br/>
        <w:t xml:space="preserve">112. In the downstream markets for selling books to retailers, the activities of the parties overlap due to the activity of Editis (Vivendi) and Prisma Media. The market share of the new entity is estimated by the notifying party to be [10-20]%, with an increase in market share resulting from the operation of less than 1 point. The competitors of the parties are numerous in this market and include the main French-speaking publishers Hachette, Albin Michel, Actes Sud, etc.  </w:t>
        <w:br/>
        <w:t xml:space="preserve">113. Regardless of the segmentation considered, whether by distribution channel or by category of books, the notifying party estimates that the market share of the new entity will be below 25% in each of the segments considered. In the specific segment of the market for selling digital books, where the new entity will have the highest market share, it is set at [20-30]%, and the increase in market share resulting from the operation will be [0-5] points.  </w:t>
        <w:br/>
        <w:t xml:space="preserve">114. Furthermore, the competitors of the parties are numerous in this market and include the main French-speaking publishers Hachette, Albin Michel, Actes Sud, etc.  </w:t>
        <w:br/>
        <w:t xml:space="preserve">115. Consequently, given the limited market share of the new entity in these markets, the very low addition of market share resulting from the operation, and the presence of significant competitors, any risk of horizontal effect in the markets for selling books to retailers related to the operation can be ruled out.  </w:t>
        <w:br/>
        <w:t xml:space="preserve">2. MARKETS FOR ADVERTISING  </w:t>
        <w:br/>
        <w:t xml:space="preserve">a) On the online advertising markets  </w:t>
        <w:br/>
        <w:t xml:space="preserve">116. The activities of the parties overlap in the overall online advertising market and in the segment of online "display" advertising intended to be broadcast on computers, smartphones, or via internet protocol television (IPTV).  </w:t>
        <w:br/>
        <w:t xml:space="preserve">117. In the overall online advertising market, the market share of the new entity is estimated to be [0-5]%. In the segment of online "display" advertising, the market share of the new entity is estimated to be [5-10]%. These market share estimates vary depending on the different sub-segments considered, while remaining below 15%: regarding "display" advertising on mobile devices, the market share of the new entity is estimated to be [10-20]%, regarding "display" advertising on computers, the market share of the new entity is estimated to be [0-5]%, and in the market for "display" advertising on IPTV, the market share of the new entity is estimated to be [0-5]%.  </w:t>
        <w:br/>
        <w:t xml:space="preserve">118. Furthermore, after the operation, the new entity will face competition from powerful and numerous players, including, notably in the segment of "display" advertising on mobile devices, Google, Facebook, Microsoft, and Amazon.  </w:t>
        <w:br/>
        <w:t xml:space="preserve">119. Consequently, given the limited market share of the new entity in these markets and the presence of significant competitors, any risk of horizontal effect in the online advertising markets related to the operation can be ruled out.  </w:t>
        <w:br/>
        <w:t xml:space="preserve">b) On the market for marketing and communication services  </w:t>
        <w:br/>
        <w:t>120. In the market for marketing and communication services, adopting the most conservative calculation methodology used by the European Commission in the decision Bolloré/Vivendi of April 24, 2017, the market share of the new entity is below 15% according to the notifying party, with an addition of market share resulting from the operation of around [0-5] points.</w:t>
      </w:r>
    </w:p>
    <w:p>
      <w:r>
        <w:rPr>
          <w:b/>
        </w:rPr>
        <w:t>[Pages 25–27]</w:t>
      </w:r>
    </w:p>
    <w:p>
      <w:r>
        <w:t>121. Regardless of the methodology adopted, the notifying party therefore estimates that the market share of the new entity will be below 25%.</w:t>
      </w:r>
    </w:p>
    <w:p>
      <w:r>
        <w:t>122. Furthermore, the notifying party indicates that after the operation, the new entity will face competition from significant players such as WPP, Publicis, or Omnicom.</w:t>
      </w:r>
    </w:p>
    <w:p>
      <w:r>
        <w:t>123. Consequently, given the limited market share of the new entity in these markets, the very slight increase in market share resulting from the operation, and the presence of significant competitors, any risk of horizontal effect on the market for marketing and communication services related to the operation can be ruled out.</w:t>
      </w:r>
    </w:p>
    <w:p>
      <w:r>
        <w:t>3. MARKETS FOR THE OPERATION OF EDITORIAL WEBSITES</w:t>
      </w:r>
    </w:p>
    <w:p>
      <w:r>
        <w:t>124. Regarding the markets for the operation of editorial websites, the activities of the parties overlap in the market for political and general news sites, only in the event that it is considered that the sites capital.fr and businessinsider.fr belong to this category.</w:t>
      </w:r>
    </w:p>
    <w:p>
      <w:r>
        <w:t>125. The market share of the new entity is estimated by the notifying party to be [20-30]% in the market for editorial websites focused on political and general news. Therefore, the market share of the new entity in the overall market for editorial websites will be below 25%.</w:t>
      </w:r>
    </w:p>
    <w:p>
      <w:r>
        <w:t>126. The competitors of the parties are numerous in this market and include sites affiliated with other press titles (among which lefigaro.fr, lepoint.fr, or 20minutes.fr) and, to a lesser extent, sites affiliated with other media (franceinfo.fr, for example) as well as "pure online" operators (mediapart.fr, for example).</w:t>
      </w:r>
    </w:p>
    <w:p>
      <w:r>
        <w:t>127. Consequently, given the limited market share of the new entity in these markets and the presence of significant competitors, any risk of horizontal effect on the markets for the operation of online editorial sites related to the operation can be ruled out.</w:t>
      </w:r>
    </w:p>
    <w:p>
      <w:r>
        <w:t>B. ANALYSIS OF VERTICAL EFFECTS</w:t>
      </w:r>
    </w:p>
    <w:p>
      <w:r>
        <w:t>128. A vertical concentration can restrict competition by making access to the markets in which the new entity will be active more difficult, or even potentially excluding competitors or penalizing them by increasing their costs. This lock-in can target downstream markets when the integrated company refuses to sell an input to its downstream competitors, degrades its quality, or significantly increases its price, or upstream markets when the downstream branch of the integrated company refuses to purchase products from upstream manufacturers, thereby reducing their commercial outlets.</w:t>
      </w:r>
    </w:p>
    <w:p>
      <w:r>
        <w:t>129. However, the Competition Authority generally considers that a risk of vertical effect can be ruled out as long as the market share of the entity resulting from the operation in the relevant markets does not exceed 30%.</w:t>
      </w:r>
    </w:p>
    <w:p>
      <w:r>
        <w:t>130. The vertical effects of the operation will be analyzed successively in the markets for publishing and selling books (1) and for advertising (2).</w:t>
      </w:r>
    </w:p>
    <w:p>
      <w:r>
        <w:t>1. MARKETS FOR PUBLISHING AND SELLING BOOKS</w:t>
      </w:r>
    </w:p>
    <w:p>
      <w:r>
        <w:t>131. The operation is likely to generate vertical effects between different markets for publishing and selling books, as the parties are present at several levels of the value chain in these markets.</w:t>
      </w:r>
    </w:p>
    <w:p>
      <w:r>
        <w:t>132. As a preliminary point, given the limited combined market share of Editis and Prisma Media, as both a buyer and a seller, in the market for the purchase of reprint rights in paperback format, which is below 30%, the operation is not likely to raise any vertical issues in this market.</w:t>
      </w:r>
    </w:p>
    <w:p>
      <w:r>
        <w:t>133. Regarding the vertical integration resulting from the operation in the markets for broadcasting and distribution services, which encompass all activities related to the marketing of publishers' works to various categories of book retailers and the logistical operations related to the supply of books to customers, the market shares of Editis exceed the 30% threshold in the sole market for broadcasting services excluding intra-group services ([30-40]% across all retailers).</w:t>
      </w:r>
    </w:p>
    <w:p>
      <w:r>
        <w:t>134. However, it emerges from the investigation that, firstly, Éditions Prisma already uses […] the services of Editis for the broadcasting and distribution of its titles. Indeed, it generated in 2019, [60-70]% of its revenue from book sales with Interforum.</w:t>
      </w:r>
    </w:p>
    <w:p>
      <w:r>
        <w:t>135. Secondly, Éditions Prisma is a marginal client for broadcasters and distributors in these markets. Indeed, in 2019, the total public revenue generated by books published by Éditions Prisma represents less than 1% of the total market value for book sales. The market shares of Prisma Media in the markets for broadcasting and distribution services (excluding intra-group services) are thus below 1% according to the notifying party.</w:t>
      </w:r>
    </w:p>
    <w:p>
      <w:r>
        <w:t>136. Therefore, even in the event that Éditions Prisma were to turn away from Editis's competing operators to entrust 100% of its volumes for broadcasting and distribution to the new entity following the operation, this development would have no market lock-in effect.</w:t>
      </w:r>
    </w:p>
    <w:p>
      <w:r>
        <w:t>137. In light of these elements, the operation is unlikely to harm competition through vertical effects in the various markets for publishing and selling books.</w:t>
      </w:r>
    </w:p>
    <w:p>
      <w:r>
        <w:t>2. MARKETS FOR ADVERTISING</w:t>
      </w:r>
    </w:p>
    <w:p>
      <w:r>
        <w:t>138. The operation is likely to generate vertical effects in the advertising markets, as the parties are present in these markets, respectively as suppliers of advertising space and services and as buyers of these same services.</w:t>
      </w:r>
    </w:p>
    <w:p>
      <w:r>
        <w:t>139. In this case, Vivendi and Prisma Media each act both as sellers and as buyers of advertising space (on television, online, and in print). The Vivendi group, through Havas, is also active in the markets for advertising space purchasing services and marketing and communication services, in which Prisma Media is present as a buyer.</w:t>
      </w:r>
    </w:p>
    <w:p>
      <w:r>
        <w:t>a) Vertical effects between the respective activities of the parties as suppliers and buyers of advertising space</w:t>
      </w:r>
    </w:p>
    <w:p>
      <w:r>
        <w:t>140. On the supply side, Vivendi has market shares below 30% in the various advertising markets, regardless of the segmentation adopted. Using the most conservative calculation method, which is based on the position of the entity according to the theme of press titles, the market shares of Prisma Media are below 30% in all markets in which it is active, except for gaming magazines (Femme Actuelle Jeux – [30-40]%), discovery/tourism magazines (Geo and National Geographic – [50-60]%), and "people" magazines (Voici and Gala – [30-40]%).</w:t>
        <w:br/>
        <w:t xml:space="preserve">  </w:t>
        <w:br/>
        <w:t>141. However, assuming there is an incentive for Prisma Media to degrade the purchasing conditions of the advertising space it offers to Vivendi's competitors, such a strategy would have no competitive effect. Indeed, the magazine titles concerned by these market shares above 30% (i.e., Femme Actuelle Jeux, Geo, National Geographic, Voici, and Gala) are by no means essential in the advertising communication strategy of operators. Faced with a deterioration in the conditions offered by Prisma Media, advertisers could therefore reallocate their advertising investments to other press titles, primarily those that directly compete with those of the parties. Such a shift could also benefit other press titles that share the same advertisers.</w:t>
      </w:r>
    </w:p>
    <w:p>
      <w:r>
        <w:t>142. In this regard, it is noteworthy that if we calculate the market shares of Prisma Media in the magazine press market using a segmentation based on the sector of activity of advertisers, it remains below 30%, regardless of the sector considered. The same applies if we analyze, for each title of Prisma Media, a market that would include all magazines of Prisma Media and its competitors with which the considered title shares at least 25% of common advertisers.</w:t>
      </w:r>
    </w:p>
    <w:p>
      <w:r>
        <w:t>143. Consequently, any risk of input lock-in can be excluded in this case.</w:t>
      </w:r>
    </w:p>
    <w:p>
      <w:r>
        <w:t>144. On the demand side, the market share of Vivendi and Prisma Media, as buyers, is small. Prisma Media and Vivendi (excluding Havas) each represent less than [0-5]% of online, television, and magazine advertising space purchases. As for Havas, its market share is [10-20]% of advertising space purchases across all media, including [10-20]% in television, [10-20]% online, and [5-10]% in magazine press. In any case, it is below 30%, regardless of the media considered.</w:t>
      </w:r>
    </w:p>
    <w:p>
      <w:r>
        <w:t>145. Given this situation, any risk of customer foreclosure can be ruled out. Indeed, assuming that following the operation, Prisma Media is able to turn away from Vivendi's competing media to reserve a significant share, or even all, of its advertising space purchases for the various entities of the Vivendi group – and vice versa – this development would have no effect on the advertising space sales markets, given the limited market share represented by Prisma Media and Vivendi (even if Havas is included) as advertisers.</w:t>
      </w:r>
    </w:p>
    <w:p>
      <w:r>
        <w:t>146. In light of these elements, the operation is unlikely to harm competition through vertical effects in the advertising markets via vertical effects between the respective activities of the parties as suppliers and buyers of advertising space.</w:t>
      </w:r>
    </w:p>
    <w:p>
      <w:r>
        <w:rPr>
          <w:b/>
        </w:rPr>
        <w:t>[Pages 28–30]</w:t>
      </w:r>
    </w:p>
    <w:p>
      <w:r>
        <w:t>b) Vertical Effects between Havas's Activities in the Markets for Advertising Space Purchase Services and Marketing and Communication Services and the Demand for Such Services by Prisma Media</w:t>
        <w:br/>
        <w:t>147. The market shares of the parties are below 30% across all relevant segments and sub-segments. In particular, Prisma Media represents a market share of less than [0-5]% in each of the relevant markets.</w:t>
        <w:br/>
        <w:t>148. In light of these elements, the operation is not likely to harm competition through vertical effects in the markets for advertising space purchase services and marketing and communication services and the demand for such services.</w:t>
        <w:br/>
        <w:t>149. Any risk of vertical effect between the different advertising markets resulting from the operation can therefore be ruled out.</w:t>
      </w:r>
    </w:p>
    <w:p>
      <w:r>
        <w:t>C. ANALYSIS OF CONGLOMERATE EFFECTS</w:t>
        <w:br/>
        <w:t>150. A concentration is likely to lead to conglomerate effects when the new entity extends or strengthens its presence in markets that are related to other markets where it holds market power. While conglomerate concentrations can generally create pro-competitive synergies, some conglomerate concentrations may produce restrictive effects on competition when they allow for the technical or commercial tying of the sales of the new entity's products in a way that locks in the market and excludes competitors.</w:t>
        <w:br/>
        <w:t>151. The guidelines of the Competition Authority regarding the control of concentrations indicate, however, that it is unlikely for a concentration to pose a risk of conglomerate effect if the new entity does not have a strong position in a market from which it can leverage its power. The guidelines refer, in this regard, to a threshold of 30% market share for assessing this market position65.</w:t>
        <w:br/>
        <w:t>152. In this case, the operation is likely to generate conglomerate effects resulting from leveraging effects implemented from one of the advertising markets (1), from the pay television markets (2), and from the magazine press readership markets (3)66. It is also necessary to analyze to what extent the new entity could benefit from a "portfolio effect," allowing the new entity to offer a package composed of a multitude of contents (4).</w:t>
      </w:r>
    </w:p>
    <w:p>
      <w:r>
        <w:t>1. ANALYSIS OF A LEVERAGING EFFECT IMPLEMENTED FROM THE ADVERTISING MARKETS</w:t>
        <w:br/>
        <w:t>153. In the television advertising markets, Vivendi has, according to the notifying party, a market share of [5-10]%, primarily held through the free channels of the Canal Plus Group and the clear slots of the Canal+ channel.</w:t>
        <w:br/>
        <w:t>154. In the online advertising markets, the new entity has, according to the notifying party, a market share of [0-5]% in the overall market, [5-10]% in the "display" market,65 and [10-20]% in the mobile "display" market. This market share results primarily from the position held by Prisma Media.</w:t>
        <w:br/>
        <w:t>155. In the magazine press advertising markets, Prisma Media holds, according to the notifying party, a market share of [10-20]%. As noted above, according to the market share calculation methodology adopted, Prisma Media's market shares exceed 30% in certain markets: gaming magazines ([30-40]%), discovery/tourism magazines ([50-60]%), and "people" magazines ([30-40]%). Vivendi's market share in the free press market is also below 30%.</w:t>
        <w:br/>
        <w:t>156. In this case, the market shares of the new entity could, particularly regarding the magazine press markets mentioned above, give it the ability to exercise a leveraging effect across all advertising markets, for example through bundled offers targeting different advertising channels (for instance, a unique offer integrating the most powerful advertising spaces of Prisma in the magazine press, but also online and television advertising spaces, made possible by the new entity's presence in each of these markets). The risk of implementing such a strategy has indeed been confirmed by the market test conducted as part of this investigation.</w:t>
        <w:br/>
        <w:t>157. However, it should be noted, firstly, that the position of the new entity in the magazine press market must be nuanced. Indeed, it only holds a limited market share in the overall magazine press market ([10-20]%). Furthermore, Prisma Media's strong position in the three thematic markets cited above does not seem sufficient to indicate any market power of Prisma Media in relation to advertisers. Indeed, while Prisma Media has significant weight in certain magazine advertising markets, it appears that advertisers have the option to place their advertisements in magazines related to other themes. Therefore, Prisma Media does not hold market power over these advertisers as the target does not hold more than [20-30]% market share when considering the sectors of activity of the advertisers.</w:t>
        <w:br/>
        <w:t>158. Secondly, even if the new entity were to offer bundled advertising space sales, the effects of such a strategy must be assessed in light of the factual circumstances existing in the market: besides the fact that it is not the operation that would enable the use of such an offer, since both Prisma Media67 and Vivendi are already present in several advertising markets, other integrated operators are already offering numerous so-called cross-media offers in the market, covering multiple channels simultaneously (for example: online, television, print advertising)68. It would therefore not be a new type of offer. Some of these players actually have greater market power than GCP in the advertising markets in which they operate. In television advertising, TF1 and M6 have significant power and, given their presence in the online advertising markets, can already develop comparable synergies, which would counteract any potential anti-competitive effects of such a strategy, if implemented by the new entity. Furthermore, in the online advertising markets, particularly in display, the new entity will face competition from major operators such as Google and Facebook.</w:t>
        <w:br/>
        <w:t>159. Lastly, the countervailing power of advertisers, at least against offline advertising players, must be taken into consideration. In this regard, one of the respondents to the market test states: "The bargaining power of advertisers should be considered strong (even very strong for international advertisers) [...] However, a caveat should be made regarding purchases made from international advertising space sellers such as Google and Facebook, which are considered essential and therefore have very strong bargaining power over advertisers, including international advertisers."</w:t>
        <w:br/>
        <w:t>160. Therefore, assuming that the new entity offers, following the operation, bundled offers linking advertising spaces in magazine press and television and/or online spaces, such a strategy would be unlikely to eliminate its competitors in the television advertising and online advertising markets.</w:t>
        <w:br/>
        <w:t>161. It follows from all the preceding developments that the operation is unlikely to generate conglomerate lock-in effects in the various French advertising space sales markets.</w:t>
      </w:r>
    </w:p>
    <w:p>
      <w:r>
        <w:t>2. ANALYSIS OF A LEVERAGING EFFECT IMPLEMENTED FROM THE PAY TELEVISION MARKETS</w:t>
        <w:br/>
        <w:t>162. In the markets for the distribution of pay television services, Vivendi has, according to the notifying party, a market share of [40-50]%69. In this market, GCP primarily faces competition from internet service providers.</w:t>
        <w:br/>
        <w:t>163. A scenario that could materialize following the operation would involve leveraging GCP's position in the pay television services market to develop Prisma Media's position in the magazine press market, through:</w:t>
        <w:br/>
        <w:t>- offers bundling the content of both parties (a);</w:t>
        <w:br/>
        <w:t>- a cessation of providing the program schedules of GCP's channels to press titles not belonging to the new entity (b).</w:t>
      </w:r>
    </w:p>
    <w:p>
      <w:r>
        <w:t>a) The scenario of bundling GCP's television offers and Prisma Media's magazine press offers to develop Prisma Media's position</w:t>
        <w:br/>
        <w:t>164. Following the operation, the new entity could rely on its position in the television offers market to eliminate its competitors in the readership markets.</w:t>
        <w:br/>
        <w:t>165. However, it appears, firstly, according to the elements provided by the notifying party, that implementing such a strategy would be difficult to make profitable. Indeed, the pay television market is extremely competitive, and GCP has been forced to significantly lower its subscription prices due to competition70. Thus, Vivendi would have no incentive to raise its prices or reduce its margins in this market, which would be the case if it were to integrate access to Prisma Media's titles into its offer to strengthen Prisma Media's position in the magazine press markets.</w:t>
        <w:br/>
        <w:t>166. Furthermore, both from the statements of the notifying party and the responses to the market test, it emerges that access to magazine press titles is in no way a factor for conquest nor even</w:t>
      </w:r>
    </w:p>
    <w:p>
      <w:r>
        <w:rPr>
          <w:b/>
        </w:rPr>
        <w:t>[Pages 31–33]</w:t>
      </w:r>
    </w:p>
    <w:p>
      <w:r>
        <w:t>of subscriber retention to pay television offers. Thus, bundling arrangements in which the discount offered would be applied to magazine prices rather than to pay television services would not be likely to divert a significant number of readers from competing press titles to those of Prisma Media.</w:t>
      </w:r>
    </w:p>
    <w:p>
      <w:r>
        <w:t>167. In support of this argument, the notifying party provided statistics on the use of the Cafeyn digital newsstand by Canal subscribers: only […] subscribers, or [0-5]% of the subscriber base, use the Cafeyn service each month via myCANAL.</w:t>
      </w:r>
    </w:p>
    <w:p>
      <w:r>
        <w:t>168. Secondly, the profitability of such a bundling strategy is diminished by the fact that GCP's pay television services and Prisma Media's magazines do not target the same audiences, as confirmed by certain observations made by the competitors of the parties during the market test. The notifying party provides details in this regard about the profile of subscribers to Prisma Media's magazines and GCP. Prisma Media's subscribers are, on average, older and from lower socio-professional categories compared to subscribers to Canal offers71:</w:t>
        <w:br/>
        <w:t>- […] ;</w:t>
        <w:br/>
        <w:t>- […]</w:t>
      </w:r>
    </w:p>
    <w:p>
      <w:r>
        <w:t>169. This discrepancy between the profiles of Prisma Media and Canal subscribers reduces the effects that could arise from the implementation of such a bundling strategy.</w:t>
      </w:r>
    </w:p>
    <w:p>
      <w:r>
        <w:t>170. Thirdly, competing press publishers of Prisma Media currently have the means to respond to such bundling, notably through the channels they already use to offer discounts on their subscription rates to a wide audience. Indeed, the integration of Prisma Media titles into GCP's offer at a reduced price ultimately amounts to offering the public preferential rates on subscriptions. The establishment of offers targeting a wide audience can notably be done through the websites of the relevant titles, through business-to-business partnerships offering promotional subscription rates to their partners' audiences72, or through partnerships with event sales companies such as Veepee or Showroomprive.com, on whose websites subscription offers for magazines are regularly proposed.</w:t>
      </w:r>
    </w:p>
    <w:p>
      <w:r>
        <w:t>171. It follows from all the preceding developments that the operation is unlikely to generate conglomerate lock-in effects resulting from a leverage effect implemented from the pay television markets through offers bundling GCP television offers and Prisma Media magazines aimed at developing Prisma Media's position.</w:t>
      </w:r>
    </w:p>
    <w:p>
      <w:r>
        <w:t>b) The scenario of ceasing to provide program schedules of GCP channels to press titles not belonging to the new entity</w:t>
      </w:r>
    </w:p>
    <w:p>
      <w:r>
        <w:t>172. Some respondents to the market test expressed concern about a scenario in which the new entity would be able, after the operation, to cease providing program schedules of GCP channels to press titles not belonging to the new entity, in order to favor Prisma Media's television magazines.</w:t>
      </w:r>
    </w:p>
    <w:p>
      <w:r>
        <w:t>71 Except, however, for the magazines in the economic sector, namely Capital, Management, and Harvard Business Review. While subscribers to these last three magazines have profiles closer to those of GCP, they are few in number (approximately […] in 2019). Thus, an increase in their number resulting from bundling with Canal offers does not seem likely to have a significant effect on competing press publishers.</w:t>
      </w:r>
    </w:p>
    <w:p>
      <w:r>
        <w:t>72 Subscription offers proposed, for example, by Cdiscount, Viapresse, UNI-Presse, Fnac, etc.</w:t>
      </w:r>
    </w:p>
    <w:p>
      <w:r>
        <w:t>173. In this regard, it should be recalled that agreements73 concluded between the Conseil supérieur de l’audiovisuel (CSA) and various private television channels provide for an obligation for each channel publisher to announce its programs well in advance of the broadcast of the programs for the relevant week. Any modification of this program schedule is strictly regulated. The CSA also has the authority to formally request a service publisher to comply with the various stipulations of the agreement that binds them.</w:t>
      </w:r>
    </w:p>
    <w:p>
      <w:r>
        <w:t>174. Furthermore, it follows from the elements provided by the notifying party that the new entity will have no interest in refusing to communicate its schedules to competing press publishers of Prisma Media.</w:t>
      </w:r>
    </w:p>
    <w:p>
      <w:r>
        <w:t>175. First of all, if such a strategy were indeed profitable, it could have already been adopted, as Bertelsmann, before the operation, holds both M6 and Prisma Media. Moreover, television magazines, which represent approximately [20-30]% of Prisma Media's revenue, constitute a market that has been declining for several years: the circulation of the main television magazines has dropped by about 20% over the past five years, and gross advertising investments in these magazines have also decreased by 32% during this period74. In contrast, revenues generated by television advertising, which account for approximately [90-100]% of the remuneration of free channels according to estimates from the notifying party, amounted to 3.4 billion euros in 201975. It is therefore very unlikely that Vivendi would take the risk of reducing its audience by decreasing the exposure of its program schedules to increase its position in the declining market of television magazine readership.</w:t>
      </w:r>
    </w:p>
    <w:p>
      <w:r>
        <w:t>176. It follows from all the preceding developments that the operation is not likely to generate anti-competitive effects in the television press readership market through the cessation of providing program schedules of GCP channels to press titles not belonging to the new entity.</w:t>
      </w:r>
    </w:p>
    <w:p>
      <w:r>
        <w:t>3. ANALYSIS OF A LEVERAGE EFFECT IMPLEMENTED FROM THE MAGAZINE PRESS READERSHIP MARKETS</w:t>
      </w:r>
    </w:p>
    <w:p>
      <w:r>
        <w:t>177. In the overall magazine press readership market, Prisma Media holds a market share of [10-20]%. In two magazine press markets, the market shares held by Prisma Media exceed 30%: these are the game magazines, via Femme Actuelle Jeux ([30-40]%), and the discovery/tourism magazines, via Geo and National Geographic ([50-60]%).</w:t>
      </w:r>
    </w:p>
    <w:p>
      <w:r>
        <w:t>178. A scenario that could be envisaged following the operation would involve the new entity leveraging Prisma Media's position in the magazine press readership market to develop GCP's position in the pay television services market by displacing its competitors, through:</w:t>
        <w:br/>
        <w:t>- bundling GCP television offers with Prisma Media magazines, or even granting GCP exclusivity for the distribution of Prisma Media titles (a);</w:t>
        <w:br/>
        <w:t>- enhancing the content of GCP channels within Prisma Media's press titles (b).</w:t>
      </w:r>
    </w:p>
    <w:p>
      <w:r>
        <w:t>73 https://www.csa.fr/Reguler/Espace-juridique/Les-relations-du-CSA-avec-les-editeurs/Convention-des-editeurs/Les-chaines-de-television-privees-hertziennes</w:t>
      </w:r>
    </w:p>
    <w:p>
      <w:r>
        <w:t>74 ACPM data, Kantar Media.</w:t>
      </w:r>
    </w:p>
    <w:p>
      <w:r>
        <w:t>75 Unified Advertising Market Barometer – France Pub, Irep, Kantar Media 2015-2019.</w:t>
      </w:r>
    </w:p>
    <w:p>
      <w:r>
        <w:t>179. It is also necessary to assess the potential risks of the operation on digital newsstand activities (c).</w:t>
      </w:r>
    </w:p>
    <w:p>
      <w:r>
        <w:t>a) The scenario of bundling GCP television offers with Prisma Media magazines or exclusivity in access to Prisma Media titles</w:t>
      </w:r>
    </w:p>
    <w:p>
      <w:r>
        <w:t>180. The establishment of a leverage effect from the readership market to the pay television market, consisting notably of adding a subscription to Canal Plus group channels to the subscription to Prisma magazines, can be ruled out for two reasons.</w:t>
      </w:r>
    </w:p>
    <w:p>
      <w:r>
        <w:t>181. On the one hand, Prisma Media's position in the readership market must be nuanced as the target only holds a market share exceeding 30% in two markets, which are very small compared to the overall readership market76.</w:t>
      </w:r>
    </w:p>
    <w:p>
      <w:r>
        <w:t>182. On the other hand, and primarily, the success of such a strategy would be compromised by the fact that the essential driver of competition in the pay television offers market lies in the ability to provide consumers with attractive and exclusive premium content. Offering access to such an offer as part of magazine subscriptions would not in any way alter the structure of the pay television distribution market. Press titles are indeed only a very minor element of broader content offers and cannot serve as a driving factor to encourage customers to subscribe to pay television services.</w:t>
      </w:r>
    </w:p>
    <w:p>
      <w:r>
        <w:t>183. For the same reason, the potential granting of exclusivity to GCP for the distribution of the most attractive Prisma Media titles within its pay television offer would not be likely to generate anti-competitive effects in the pay television distribution market. Furthermore, this strategy would cause, according to the notifying party, significant losses to Prisma Media. An exclusivity reserved for GCP would indeed deprive Prisma Media of all its current sources of revenue from readers who are not subscribed to Canal offers.</w:t>
      </w:r>
    </w:p>
    <w:p>
      <w:r>
        <w:t>184. Finally, even if the proposal of such an offer became an attractive element in the pay television market, GCP's competitors, who do not currently offer such offers, could easily replicate them by forming strategic partnerships with digital aggregators/newsstands, such as Cafeyn, ePresse, or Europresse, or directly with competing press groups of Prisma Media that would resort to self-distribution.</w:t>
      </w:r>
    </w:p>
    <w:p>
      <w:r>
        <w:t>185. It follows from all the preceding developments that the operation is not likely to generate conglomerate lock-in effects resulting from a leverage effect implemented from the magazine press readership markets to the pay television services distribution market.</w:t>
      </w:r>
    </w:p>
    <w:p>
      <w:r>
        <w:t>b) The scenario of enhancing the content of GCP channels within Prisma Media press titles</w:t>
      </w:r>
    </w:p>
    <w:p>
      <w:r>
        <w:t>186. Some respondents to the market test expressed concern about a scenario in which, following the operation, the content of GCP's free and pay channels would be unduly enhanced within Prisma Media's television magazine press titles.</w:t>
      </w:r>
    </w:p>
    <w:p>
      <w:r>
        <w:t>187. It follows from the elements provided by the notifying party that the new entity will have no interest in implementing such biased editorial treatment in favor of GCP channels.</w:t>
      </w:r>
    </w:p>
    <w:p>
      <w:r>
        <w:t>76 The segments of game magazines and discovery/tourism magazines represent only 0.8% and 0.9%, respectively, of the overall readership market of magazine press in France (ACPM).</w:t>
      </w:r>
    </w:p>
    <w:p>
      <w:r>
        <w:rPr>
          <w:b/>
        </w:rPr>
        <w:t>[Pages 34–36]</w:t>
      </w:r>
    </w:p>
    <w:p>
      <w:r>
        <w:t>188. Indeed, the influence of television magazines on viewers and, ultimately, on audience ratings is limited. The audience of a television channel is primarily built on the quality, richness, and relevance of its programs and not by the fact that these programs are highlighted in magazine titles.</w:t>
      </w:r>
    </w:p>
    <w:p>
      <w:r>
        <w:t>189. Furthermore, television channels have many other means to promote their programs, particularly advertising, including online, or promotional trailers inserted within prior television shows.</w:t>
      </w:r>
    </w:p>
    <w:p>
      <w:r>
        <w:t>190. Finally, the notifying party emphasizes that the readership of television magazines places significant importance on the neutrality of programs, both in the presentation of daily programs and in the selection of programs highlighted on the front pages of television magazines. In this context, a biased highlighting strategy of the channels of the new entity would lead to a significant loss of readership in favor of competing television magazines that are more neutral and independent in their editorial content choices.</w:t>
      </w:r>
    </w:p>
    <w:p>
      <w:r>
        <w:t>191. The notifying party also notes that if such a strategy had proven profitable, it could have already been adopted, given that Bertelsmann, prior to the operation, owns both M6 and Prisma Media.</w:t>
      </w:r>
    </w:p>
    <w:p>
      <w:r>
        <w:t>192. It follows from all the preceding developments that the operation is unlikely to generate anti-competitive effects resulting from the valorization of the content of GCP channels within the magazine titles of Prisma Media.</w:t>
      </w:r>
    </w:p>
    <w:p>
      <w:r>
        <w:t>c) Assessment of the Effects of the Operation on Digital Kiosk Activities</w:t>
      </w:r>
    </w:p>
    <w:p>
      <w:r>
        <w:t>193. Several respondents to the market test highlighted the risk generated by the operation for digital kiosks.</w:t>
      </w:r>
    </w:p>
    <w:p>
      <w:r>
        <w:t>194. Digital kiosks, such as Cafeyn and ePress, are operators that aggregate numerous press titles within a global offering. These offerings are available directly through a subscription or through intermediaries that integrate these kiosks into a broader offering (similar to ISPs or pay television operators).</w:t>
      </w:r>
    </w:p>
    <w:p>
      <w:r>
        <w:t>195. Following the operation, the new entity could either refuse to integrate digital kiosks into its own offerings to end consumers in order to favor an internal offering developed from the content of Prisma Media, or deny digital kiosks access to Prisma Media titles to maintain exclusivity. However, neither of these strategies is likely to generate anti-competitive effects in the readership market.</w:t>
      </w:r>
    </w:p>
    <w:p>
      <w:r>
        <w:t>196. First, according to information provided by the notifying party, the weight of digital kiosks in the distribution of press titles is very marginal when compared to the distribution of titles in print and digital versions directly on the websites and applications of magazine publishers. For illustration, the notifying party indicates that in 2020, according to ACPM, the paid circulation of the magazine Voici in France amounts, on average monthly, to 201,787 copies, of which 148,233 copies were sold in kiosks (73.46%), 48,509 copies (24.04%) via paper subscription, and 4,620 (2.29%) copies in individual digital format. The circulation generated by digital kiosks (Cafeyn, ePresse) represents only […] downloads (equivalent copies) per issue, totaling only […] copies annually. Given the limited outlets represented by digital kiosks in the readership market, the refusal to distribute such services within Vivendi's offerings or the existence of exclusivity benefiting the distribution of Prisma Media titles for Vivendi would not be likely to generate a significant effect on the readership market.</w:t>
      </w:r>
    </w:p>
    <w:p>
      <w:r>
        <w:t>197. Furthermore, it emerged from the investigation that the attractiveness of these digital kiosks primarily relies on the comprehensiveness of the titles included in their offerings. Consequently, an aggregation offer based solely on Prisma Media titles would not be sufficiently attractive to be truly profitable. Indeed, Prisma Media holds only [10-20]% market share in the overall readership market for magazine press, and none of its titles is essential. As for the removal of Prisma Media titles from aggregation platforms, it would not prevent digital kiosks from deploying attractive offers. It is noteworthy in this regard that these platforms do not currently access very powerful press titles such as the newspapers Le Monde and Le Figaro, without this hindering their ability to offer a service to consumers.</w:t>
      </w:r>
    </w:p>
    <w:p>
      <w:r>
        <w:t>198. Finally, the new entity represents only a portion of the operators likely to distribute such offers, which are also offered directly to consumers. Consequently, even if Vivendi were to stop integrating such digital kiosks into its offering, it would not deprive them of the opportunity to continue developing through other means (direct sales to consumers, in particular).</w:t>
      </w:r>
    </w:p>
    <w:p>
      <w:r>
        <w:t>199. The operation is therefore not likely to generate anti-competitive effects for the activity of digital kiosks.</w:t>
      </w:r>
    </w:p>
    <w:p>
      <w:r>
        <w:t>4. ANALYSIS OF A PORTFOLIO EFFECT RESULTING FROM THE FACT THAT THE NEW ENTITY WOULD BE ABLE TO OFFER CONSUMERS A COMPREHENSIVE OFFERING OF MULTIPLE CONTENTS</w:t>
      </w:r>
    </w:p>
    <w:p>
      <w:r>
        <w:t>200. Some respondents to the market test expressed concern about a scenario arising from the operation, whereby the new entity would be able, after the operation, to offer consumers packages allowing access to numerous contents that competitors could not replicate.</w:t>
      </w:r>
    </w:p>
    <w:p>
      <w:r>
        <w:t>201. The new entity will indeed be present in a multitude of markets likely to be subject to consumer offerings in the entertainment and culture sector: music, pay television, books, and magazine press.</w:t>
      </w:r>
    </w:p>
    <w:p>
      <w:r>
        <w:t>202. However, it emerges from the elements provided by the notifying party that, first, the attractiveness of such an offer would be limited. Indeed, no market has been identified to date for the provision of a large number of contents, as the demanders differ for each of the relevant contents. In this context, while an offer providing unified access to books published by Editis, music distributed by UMG, titles from Prisma Media, and GCP channels could meet some demand, it would not be sufficiently attractive, at this time, to have a negative effect on each of the individually concerned markets. Indeed, the specialized platforms that exist for these different types of content (notably, music, audiovisual content, press titles) allow consumers to access much more comprehensive content, which is more sought after by demanders in the respective markets of music or readership. Thus, Spotify or Deezer allow access to content from numerous music distributors. The same applies to Cafeyn and ePress for magazine press.</w:t>
      </w:r>
    </w:p>
    <w:p>
      <w:r>
        <w:t>203. Secondly, implementing such an offer would incur significant costs. Adding access to books and music titles to a pay television and/or magazine service offering would require an increase in subscription prices for consumers, which would be prohibitive in the most important markets (notably that of pay television distribution) for the profitability of the new entity.</w:t>
      </w:r>
    </w:p>
    <w:p>
      <w:r>
        <w:t>204. Thirdly, the notifying party points out that if such an offer had been likely to be profitable and to confer a significant competitive advantage, the Vivendi group would have already launched it. Indeed, Vivendi is already able to offer consumers, via myCANAL for example, combined access to GCP's pay television services, digital or audio books from Editis, and music from UMG. The "press" component of such an offer could have been provided to consumers through access to Cafeyn, already included in Canal's offerings. However, it appears that Vivendi has not launched such a comprehensive offer to date. In any case, assuming that the addition of Prisma Media magazines to Vivendi's "portfolio" is likely to change Vivendi's incentives in this regard, large online platforms such as Amazon, Google, and Apple, which offer a wide variety of content, would necessarily have the same incentive to integrate access to magazines into their offerings. Therefore, such a strategy would have no significant effect on competition as similar offers could easily be replicated by Vivendi's competitors.</w:t>
      </w:r>
    </w:p>
    <w:p>
      <w:r>
        <w:t>205. Consequently, the operation is not likely to harm competition through conglomerate effects in these markets.</w:t>
      </w:r>
    </w:p>
    <w:p>
      <w:r>
        <w:rPr>
          <w:b/>
        </w:rPr>
        <w:t>[Pages 37–37]</w:t>
      </w:r>
    </w:p>
    <w:p>
      <w:r>
        <w:t xml:space="preserve">DECIDES  </w:t>
        <w:br/>
        <w:t xml:space="preserve">Sole Article: The operation notified under number 21-012 is authorized.  </w:t>
        <w:br/>
        <w:t xml:space="preserve">The President,  </w:t>
        <w:br/>
        <w:t xml:space="preserve">Isabelle de Silva  </w:t>
        <w:br/>
        <w:t xml:space="preserve">© Competition Authority  </w:t>
        <w:br/>
        <w:t>37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