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https://www.autoritedelaconcurrence.fr/fr/decision-de-controle-des-concentrations/relative-la-prise-de-controle-exclusif-du-groupe-quick-par</w:t>
      </w:r>
    </w:p>
    <w:p>
      <w:r>
        <w:t>Pages translated : 2</w:t>
      </w:r>
    </w:p>
    <w:p/>
    <w:p>
      <w:r>
        <w:rPr>
          <w:b/>
        </w:rPr>
        <w:t>[Pages 1–2]</w:t>
      </w:r>
    </w:p>
    <w:p>
      <w:r>
        <w:t xml:space="preserve">FRENCH REPUBLIC  </w:t>
        <w:br/>
        <w:t xml:space="preserve">Decision No. 21-DCC-174 of October 5, 2021  </w:t>
        <w:br/>
        <w:t xml:space="preserve">regarding the exclusive control acquisition of the Quick group by the H.I.G. group  </w:t>
        <w:br/>
        <w:t xml:space="preserve">The Competition Authority,  </w:t>
        <w:br/>
        <w:t xml:space="preserve">Having regard to the complete notification file sent to the mergers department on  </w:t>
        <w:br/>
        <w:t xml:space="preserve">September 16, 2021, concerning the exclusive acquisition of Quick Restaurants, a subsidiary of the  </w:t>
        <w:br/>
        <w:t xml:space="preserve">Quick group, by Tribus Holdings 5, which belongs to the H.I.G. group, formalized by  </w:t>
        <w:br/>
        <w:t xml:space="preserve">a share transfer agreement dated July 29,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H.I.G. group of the Quick  </w:t>
        <w:br/>
        <w:t xml:space="preserve">group, which is active in the low-cost fast food sector. It constitutes a concentration operation within the meaning of Article L. 430-1 of the Commercial Code.  </w:t>
        <w:br/>
        <w:t xml:space="preserve">Considering the turnover achieved by the concerned companies,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21-186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