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https://www.autoritedelaconcurrence.fr/fr/decision-de-controle-des-concentrations/relative-la-prise-de-controle-exclusif-du-groupe-r-diettert</w:t>
      </w:r>
    </w:p>
    <w:p>
      <w:r>
        <w:t>Pages translated : 2</w:t>
      </w:r>
    </w:p>
    <w:p/>
    <w:p>
      <w:r>
        <w:rPr>
          <w:b/>
        </w:rPr>
        <w:t>[Pages 1–2]</w:t>
      </w:r>
    </w:p>
    <w:p>
      <w:r>
        <w:t xml:space="preserve">FRENCH REPUBLIC  </w:t>
        <w:br/>
        <w:t xml:space="preserve">Decision No. 20-DCC-08 of January 17, 2020  </w:t>
        <w:br/>
        <w:t xml:space="preserve">regarding the acquisition of exclusive control of the R. Diettert group by the  </w:t>
        <w:br/>
        <w:t xml:space="preserve">company VGRF  </w:t>
        <w:br/>
        <w:t xml:space="preserve">The Competition Authority,  </w:t>
        <w:br/>
        <w:t xml:space="preserve">Having regard to the complete notification file submitted to the mergers department on  </w:t>
        <w:br/>
        <w:t xml:space="preserve">December 13, 2019, concerning the acquisition of exclusive control by the company VGRF of the R. Diettert group, materialized by a letter of intent dated September 16, 2019.  </w:t>
        <w:br/>
        <w:t xml:space="preserve">Having regard to Book IV of the Commercial Code relating to the freedom of prices and competition, and in particular its Articles L. 430-1 to L. 430-7;  </w:t>
        <w:br/>
        <w:t xml:space="preserve">Having regard to the elements submitted during the investigation by the notifying party;  </w:t>
        <w:br/>
        <w:t xml:space="preserve">Adopts the following decision:  </w:t>
        <w:br/>
        <w:t xml:space="preserve">1. The notified operation consists of the acquisition of exclusive control by the company VGRF of the R. Diettert group, which engages in automotive dealership activities under the brands Audi, Volkswagen, and Skoda in Thionville (57).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19-332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