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https://www.autoritedelaconcurrence.fr/fr/decision-de-controle-des-concentrations/relative-la-prise-de-controle-exclusif-du-groupe-r3-par-la</w:t>
      </w:r>
    </w:p>
    <w:p>
      <w:r>
        <w:t>Pages translated : 2</w:t>
      </w:r>
    </w:p>
    <w:p/>
    <w:p>
      <w:r>
        <w:rPr>
          <w:b/>
        </w:rPr>
        <w:t>[Pages 1–2]</w:t>
      </w:r>
    </w:p>
    <w:p>
      <w:r>
        <w:t xml:space="preserve">FRENCH REPUBLIC  </w:t>
        <w:br/>
        <w:t xml:space="preserve">Decision No. 25-DCC-259 of November 3, 2025  </w:t>
        <w:br/>
        <w:t xml:space="preserve">regarding the exclusive control acquisition of the R3 group  </w:t>
        <w:br/>
        <w:t xml:space="preserve">by the company Crédit Agricole Transitions &amp; Energies  </w:t>
        <w:br/>
        <w:t xml:space="preserve">The Competition Authority,  </w:t>
        <w:br/>
        <w:t xml:space="preserve">Having regard to the complete notification file submitted to the mergers department on October 17, 2025,  </w:t>
        <w:br/>
        <w:t xml:space="preserve">concerning the exclusive control acquisition of the company R3 Group and its subsidiaries by the company Crédit Agricole Transitions &amp; Energies, formalized by a purchase agreement dated October 14, 2025;  </w:t>
        <w:br/>
        <w:t xml:space="preserve">Having regard to Book IV of the Commercial Code relating to the freedom of prices and competition, and in particular its Articles L. 430-1 to L. 430-7;  </w:t>
        <w:br/>
        <w:t xml:space="preserve">Having regard to the other documents in the file;  </w:t>
        <w:br/>
        <w:t xml:space="preserve">Adopts the following decision:  </w:t>
        <w:br/>
        <w:t xml:space="preserve">1. The notified operation consists of the exclusive control acquisition of the company R3 Group and its subsidiaries by the company Crédit Agricole Transitions &amp; Energies, controlled by the company Crédit Agricole S.A. The relevant sector is that of business consulting, particularly in the context of services related to energy transition.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25-281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