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https://www.autoritedelaconcurrence.fr/fr/decision-de-controle-des-concentrations/relative-la-prise-de-controle-exclusif-du-groupe-rbdh-par</w:t>
      </w:r>
    </w:p>
    <w:p>
      <w:r>
        <w:t>Pages translated : 4</w:t>
      </w:r>
    </w:p>
    <w:p/>
    <w:p>
      <w:r>
        <w:rPr>
          <w:b/>
        </w:rPr>
        <w:t>[Pages 1–3]</w:t>
      </w:r>
    </w:p>
    <w:p>
      <w:r>
        <w:t xml:space="preserve">FRENCH REPUBLIC  </w:t>
        <w:br/>
        <w:t xml:space="preserve">Decision No. 10-DCC-155 of November 2, 2010  </w:t>
        <w:br/>
        <w:t>regarding the exclusive control of the RBDH group by the Fund for the Consolidation and Development of Enterprises</w:t>
      </w:r>
    </w:p>
    <w:p>
      <w:r>
        <w:t xml:space="preserve">The Competition Authority,  </w:t>
        <w:br/>
        <w:t xml:space="preserve">Having regard to the notification file submitted in full to the merger service on September 29, 2010, regarding the exclusive control of the RBDH group by the Fund for the Consolidation and Development of Enterprises, formalized by an investment protocol dated July 27,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Consolidation et Développement Gestion (hereinafter "CDG") is a portfolio management company owned at [&lt;50]% and controlled by the company CDC Entreprises1, itself a 100% subsidiary of the Caisse des Dépôts et Consignations (hereinafter "CDC"). In this capacity, it manages the Fund for the Consolidation and Development of Enterprises (hereinafter "FCDE"), the only fund managed by CDG, which holds controlling interests in companies active in the sectors of cruise ship outfitting, yachts and luxury interiors, the manufacturing of alloy steel castings, the production of steel parts, the production and marketing of molded aluminum safety components, the manufacturing of specialty transport vehicles, and the transport and logistics of furniture.  </w:t>
        <w:br/>
        <w:t xml:space="preserve">2. The CDC is a public institution governed by Articles L. 518-2 and following of the Monetary and Financial Code, which fulfills missions of general interest in support of public policies conducted by the State and local authorities and engages in activities open to competition. These are grouped around four sectors: (i) personal insurance, (ii) real estate, (iii) services, and (iv) SME development and venture capital through CDC Entreprises, the Strategic Investment Fund (hereinafter "FSI"), and Qualium Investissement.  </w:t>
        <w:br/>
        <w:t xml:space="preserve">3. The RBDH SA Group (hereinafter "RBDH") primarily engages in precision machining, engineering, and associated services (sourcing, logistics management, purchasing, and after-sales service).  </w:t>
        <w:br/>
        <w:t xml:space="preserve">4. The proposed transaction involves the acquisition by the risk mutual fund FCDE, managed and represented by CDG, of 44.85% of RBDH's capital through the subscription by FCDE of [Confidential] shares issued during the capital increase of RBDH through cash contributions. The board of directors of RBDH will consist of five members, two of whom will be appointed at the proposal of FCDE. [Confidential]. None of the minority co-shareholders, whose cumulative participation in RBDH's capital will amount to […]%, will have veto rights over RBDH's strategic decisions.  </w:t>
        <w:br/>
        <w:t xml:space="preserve">5. It follows from the above that the proposed transaction results in the exclusive control of RBDH by CDG, and constitutes a concentration within the meaning of Article L. 430-1 of the Commercial Code.  </w:t>
        <w:br/>
        <w:t>6. The companies concerned achieved a consolidated worldwide turnover excluding taxes of more than 150 million euros in 2009 (CDC: […] billion euros; RBDH: […] million euros). Each of these companies generates, in France, a turnover exceeding 50 million euros (CDC: […] billion euros; RBDH: […] million euros).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relevant markets  </w:t>
        <w:br/>
        <w:t xml:space="preserve">7. Previous decision-making practice has considered that the industrial supplies sector could be subdivided into as many markets as there are families of products, namely, tooling, machining, transmission, automation, assembly, equipment, as well as protection, hygiene, and safety, insofar as each family of products serves a particular function and is not substitutable for others in the eyes of professionals. The possibility of a finer segmentation of the markets has also been considered within each family of products2. Thus, within the machining market, the existence of a distinct market for metal turning has been contemplated3. The parties argue that segmentation could be carried out based on the industrial sectors to which the parts are intended or according to the type of machined parts. The question of the precise definition of the markets can nevertheless be left open insofar as, regardless of the definition adopted, the conclusions of the analysis will remain unchanged.  </w:t>
        <w:br/>
        <w:t>8. Regarding the geographical delimitation, previous decision-making practice has analyzed the effects of the notified operations at the national level, while leaving open the precise delimitation of the geographical scope of the relevant markets4.</w:t>
      </w:r>
    </w:p>
    <w:p>
      <w:r>
        <w:t xml:space="preserve">III. Competitive Analysis  </w:t>
        <w:br/>
        <w:t xml:space="preserve">9. RBDH's main activity is precision machining, which is a manufacturing technique for mechanical parts that involves removing material from a raw piece to achieve a desired shape, through a cutting process that allows the production of complex parts with very high precision. RBDH performs large-scale machining on materials with high dimensional capacities (large boring machines, gantry milling machines, large vertical lathes) particularly suited for offshore and nuclear industries, machining of watertight castings for high voltage electricity, machining of drilled blocks for hydraulic applications, machining of bimetallic junctions in stainless steel and aluminum for the energy, cryogenics, and aerospace sectors, and high-precision gear machining, primarily for the automotive and home automation sectors.  </w:t>
        <w:br/>
        <w:t xml:space="preserve">10. The CDC holds, through two 100% subsidiaries, CDC Entreprises and Qualium Investissement, as well as through FSI (held at 51%), controlling interests in four companies active in the machining sector:  </w:t>
        <w:br/>
        <w:t xml:space="preserve">Global Cast, whose main activity is the manufacturing of alloy steel castings for industrial applications and which marginally performs machining operations on the castings it manufactures;  </w:t>
        <w:br/>
        <w:t xml:space="preserve">Le Bélier, whose main activity is the production and marketing of molded aluminum safety components and which performs machining operations on the parts it manufactures;  </w:t>
        <w:br/>
        <w:t xml:space="preserve">Mecachrome, whose activity consists of producing complex high-precision components intended for the aerospace, automotive, and industrial equipment industries;  </w:t>
        <w:br/>
        <w:t xml:space="preserve">Eurofarad, whose activity consists of producing electronic components, sensors, and associated systems and performing machining operations on complex high-precision parts, from prototype to medium series, intended for the professional sectors of aerospace, defense, medical, space, rail, and oil exploration, this last activity representing in 2009 […]% of its turnover;  </w:t>
        <w:br/>
        <w:t xml:space="preserve">Genoyer, whose activity consists of producing piping equipment for the oil, gas, and hydraulic industries and whose machining activity represented, in 2009, […]% of its turnover.  </w:t>
        <w:br/>
        <w:t>4 See aforementioned decisions.</w:t>
      </w:r>
    </w:p>
    <w:p>
      <w:r>
        <w:rPr>
          <w:b/>
        </w:rPr>
        <w:t>[Pages 4–4]</w:t>
      </w:r>
    </w:p>
    <w:p>
      <w:r>
        <w:t>11. According to the parties, the machining sector would represent, in 2009, approximately 9 billion euros in France. The cumulative market share of the parties in the overall machining market is [0-5]% (RBDH: [0-5]%; Mecachrome: [0-5]%; Eurofarad: [0-5]% and Genoyer: [0-5]%). Furthermore, this sector is highly fragmented, with over a thousand companies present, most of which are not diversified and none of which holds more than 5% of the market.</w:t>
      </w:r>
    </w:p>
    <w:p>
      <w:r>
        <w:t>12. Moreover, RBDH on one hand, and Mecachrome, Eurofarad, and Genoyer on the other hand, perform machining operations on parts that are primarily intended for different industrial sectors. Consequently, the operation will only result in minor overlaps in activity in a potential sub-segmentation of the machining market by the industrial sectors to which the parts are intended. Indeed, RBDH's clients are mainly active in the transport and off-road sectors (industrial vehicles, agricultural machinery, public works, railways), in electrical energy, as well as in fixed equipment goods (plastic industry, textiles, home automation, pneumatics), whereas the clients of Mecachrome, Eurofarad, and Genoyer are primarily active in the aerospace, automotive, and energy sectors (oil industry, hydraulics, others).</w:t>
      </w:r>
    </w:p>
    <w:p>
      <w:r>
        <w:t>13. Finally, the parts machined by RBDH on one hand, and the parts machined by Mecachrome, Eurofarad, and Genoyer on the other hand, essentially serve different uses and require different production methods and machining techniques. Consequently, the operation will only result in minor overlaps in activity in a potential sub-segmentation of the market by type of machined parts.</w:t>
      </w:r>
    </w:p>
    <w:p>
      <w:r>
        <w:t>14. It follows from the above that the operation is not likely to harm competition in the overall machining market or in a sub-segmentation of this market by industrial sector or by type of machined parts.</w:t>
      </w:r>
    </w:p>
    <w:p>
      <w:r>
        <w:t>DECIDES</w:t>
      </w:r>
    </w:p>
    <w:p>
      <w:r>
        <w:t>Sole Article: The operation notified under number 10-0150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