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https://www.autoritedelaconcurrence.fr/fr/decision-de-controle-des-concentrations/relative-la-prise-de-controle-exclusif-du-groupe-residis</w:t>
      </w:r>
    </w:p>
    <w:p>
      <w:r>
        <w:t>Pages translated : 2</w:t>
      </w:r>
    </w:p>
    <w:p/>
    <w:p>
      <w:r>
        <w:rPr>
          <w:b/>
        </w:rPr>
        <w:t>[Pages 1–2]</w:t>
      </w:r>
    </w:p>
    <w:p>
      <w:r>
        <w:t>FRENCH REPUBLIC</w:t>
        <w:br/>
        <w:t>Decision No. 25-DCC-296 of November 25, 2025</w:t>
        <w:br/>
        <w:t>regarding the exclusive control acquisition of the Residis group</w:t>
        <w:br/>
        <w:t>by Platina Partners</w:t>
        <w:br/>
        <w:t>The Competition Authority,</w:t>
      </w:r>
    </w:p>
    <w:p>
      <w:r>
        <w:t>Having regard to the complete notification file submitted to the mergers department on November 5, 2025, concerning the exclusive control acquisition of the Residis group by the investment company Platina Partners LLP via the investment vehicle FIP Holding S.à r.l., formalized by a share purchase agreement signed on November 6, 2025;</w:t>
      </w:r>
    </w:p>
    <w:p>
      <w:r>
        <w:t>Having regard to Book IV of the Commercial Code relating to the freedom of prices and competition, and in particular its Articles L. 430-1 to L. 430-7;</w:t>
      </w:r>
    </w:p>
    <w:p>
      <w:r>
        <w:t>Adopts the following decision:</w:t>
      </w:r>
    </w:p>
    <w:p>
      <w:r>
        <w:t>1. The notified transaction consists of the acquisition by the investment company Platina Partners LLP, through the company FIP Holding S.à r.l., of 100% of the shares of MW Impact Holding, at the head of the Residis group. The sector primarily concerned by this transaction is that of the ownership and management for its own account of social housing and the offering of hotel residences for social purposes. This transaction constitutes a concentration within the meaning of Article L. 430-1 of the Commercial Code. Given the revenues generated by the companies involved,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2. In light of the elements of the file, the transaction is not likely to harm competition in the relevant markets.</w:t>
      </w:r>
    </w:p>
    <w:p>
      <w:r>
        <w:t>DECIDES</w:t>
        <w:br/>
        <w:t>Sole Article: The notified transaction under number 25-321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