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https://www.autoritedelaconcurrence.fr/fr/decision-de-controle-des-concentrations/relative-la-prise-de-controle-exclusif-du-groupe-resilians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21-DCC-132 of August 2, 2021  </w:t>
        <w:br/>
        <w:t xml:space="preserve">regarding the exclusive control acquisition of the Résilians group by the  </w:t>
        <w:br/>
        <w:t xml:space="preserve">company Motion Equity Partners  </w:t>
        <w:br/>
        <w:t xml:space="preserve">The Competition Authority,  </w:t>
        <w:br/>
        <w:t xml:space="preserve">Having regard to the complete notification file sent to the mergers department on July 15, 2021  </w:t>
        <w:br/>
        <w:t xml:space="preserve">concerning the exclusive control acquisition of the Résilians group by the company Motion Equity Partners  </w:t>
        <w:br/>
        <w:t xml:space="preserve">and formalized by a share transfer agreement dated June 10,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Motion Equity  </w:t>
        <w:br/>
        <w:t xml:space="preserve">Partners of the company Financière Life, the parent company of the Résilians group, active in the sector of  </w:t>
        <w:br/>
        <w:t xml:space="preserve">housing assistance services.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21-132 is authorized.  </w:t>
        <w:br/>
        <w:t xml:space="preserve">The Vice-President,  </w:t>
        <w:br/>
        <w:t xml:space="preserve">Irène Luc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