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https://www.autoritedelaconcurrence.fr/fr/decision-de-controle-des-concentrations/relative-la-prise-de-controle-exclusif-du-groupe-riri-par</w:t>
      </w:r>
    </w:p>
    <w:p>
      <w:r>
        <w:t>Pages translated : 2</w:t>
      </w:r>
    </w:p>
    <w:p/>
    <w:p>
      <w:r>
        <w:rPr>
          <w:b/>
        </w:rPr>
        <w:t>[Pages 1–2]</w:t>
      </w:r>
    </w:p>
    <w:p>
      <w:r>
        <w:t xml:space="preserve">FRENCH REPUBLIC  </w:t>
        <w:br/>
        <w:t xml:space="preserve">Decision No. 23-DCC-36 of February 21, 2023  </w:t>
        <w:br/>
        <w:t xml:space="preserve">regarding the acquisition of exclusive control of the Riri group by the Oerlikon group  </w:t>
        <w:br/>
        <w:t xml:space="preserve">The Competition Authority,  </w:t>
        <w:br/>
        <w:t xml:space="preserve">Having regard to the notification file submitted in full to the mergers department on February 3, 2023, concerning the acquisition of exclusive control of the Riri group by the Oerlikon group, formalized by a sale and purchase agreement dated December 15,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exclusive control of the Riri group by the Oerlikon group, both active in the sector of production and marketing of high-end metal parts. It constitutes a concentration operation within the meaning of Article L. 430-1 of the Commercial Code. Given the turnover achieved by the companies concerned, the operation does not fall under the jurisdiction of the European Union. However, the thresholds for control related to retail trade mentioned in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22-339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