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https://www.autoritedelaconcurrence.fr/fr/decision-de-controle-des-concentrations/relative-la-prise-de-controle-exclusif-du-groupe-rossignol</w:t>
      </w:r>
    </w:p>
    <w:p>
      <w:r>
        <w:t>Pages translated : 2</w:t>
      </w:r>
    </w:p>
    <w:p/>
    <w:p>
      <w:r>
        <w:rPr>
          <w:b/>
        </w:rPr>
        <w:t>[Pages 1–2]</w:t>
      </w:r>
    </w:p>
    <w:p>
      <w:r>
        <w:t>FRENCH REPUBLIC</w:t>
        <w:br/>
        <w:t>Decision No. 3-DCC-118 of August 28, 2013</w:t>
        <w:br/>
        <w:t>regarding the exclusive control acquisition of the Rossignol group by Altor</w:t>
        <w:br/>
        <w:t>Fund III GP Limited</w:t>
        <w:br/>
        <w:t>The Competition Authority,</w:t>
        <w:br/>
        <w:t>Having regard to the notification file sent to the mergers department on July 29, 2013, and declared complete on August 20, 2013, concerning the exclusive control acquisition of the Rossignol group by the company Altor Fund III GP Limited materialized by a purchase promise dated July 11, 2013;</w:t>
        <w:br/>
        <w:t>Having regard to Book IV of the Commercial Code relating to the freedom of prices and competition, and in particular its Articles L. 430-1 to L. 430-7;</w:t>
        <w:br/>
        <w:t>Having regard to the additional elements provided by the parties during the investigation;</w:t>
        <w:br/>
        <w:t>Adopts the following decision:</w:t>
        <w:br/>
        <w:t>1. The notified operation consists of the exclusive control acquisition of the Rossignol group, active in the sectors of manufacturing and marketing of winter sports equipment as well as associated clothing and accessories, by Altor Fund III GP Limited. It constitutes a concentration operation within the meaning of Article L. 430-1 of the Commercial Code. Given the turnover achieved by the concerned companies,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13-125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