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https://www.autoritedelaconcurrence.fr/fr/decision-de-controle-des-concentrations/relative-la-prise-de-controle-exclusif-du-groupe-sandaya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21-DCC-55 of April 6, 2021  </w:t>
        <w:br/>
        <w:t xml:space="preserve">regarding the exclusive control of the Sandaya group by the  </w:t>
        <w:br/>
        <w:t xml:space="preserve">InfraVia group  </w:t>
        <w:br/>
        <w:t xml:space="preserve">The Competition Authority,  </w:t>
        <w:br/>
        <w:t xml:space="preserve">Having regard to the complete notification file submitted to the mergers department on March 16, 2021,  </w:t>
        <w:br/>
        <w:t xml:space="preserve">concerning the exclusive control of the Sandaya group by the InfraVia group, formalized by  </w:t>
        <w:br/>
        <w:t xml:space="preserve">a sale and purchase agreement dated March 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the InfraVia group of the Sandaya group, active in the outdoor hospitality sector. It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21-048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