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https://www.autoritedelaconcurrence.fr/fr/decision-de-controle-des-concentrations/relative-la-prise-de-controle-exclusif-du-groupe-sante-0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24-DCC-19 of February 14, 2024  </w:t>
        <w:br/>
        <w:t xml:space="preserve">regarding the exclusive control acquisition of the Santé Ovalie group by the  </w:t>
        <w:br/>
        <w:t xml:space="preserve">Vivalto Santé group  </w:t>
        <w:br/>
        <w:t xml:space="preserve">The Competition Authority,  </w:t>
        <w:br/>
        <w:t xml:space="preserve">Having regard to the complete notification file sent to the mergers department on January 24, 2024,  </w:t>
        <w:br/>
        <w:t xml:space="preserve">concerning the exclusive control acquisition of the Santé Ovalie group by the Vivalto Santé group,  </w:t>
        <w:br/>
        <w:t xml:space="preserve">formalized by a transfer and guarantee agreement dated December 22,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Vivalto Santé group of the  </w:t>
        <w:br/>
        <w:t xml:space="preserve">Santé Ovalie group1, both primarily active in the markets for the provision of diagnostics  </w:t>
        <w:br/>
        <w:t xml:space="preserve">and healthcare services.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point I of Article L. 430-2 of the Commercial Code  </w:t>
        <w:br/>
        <w:t xml:space="preserve">are exceeded. The present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 xml:space="preserve">in the relevant markets.  </w:t>
        <w:br/>
        <w:t>1 Excluding the "Pole 3" of the Santé Ovalie group grouping the establishments of the 3H Group.</w:t>
      </w:r>
    </w:p>
    <w:p>
      <w:r>
        <w:t xml:space="preserve">DECIDES  </w:t>
        <w:br/>
        <w:t xml:space="preserve">Sole Article: The operation notified under number 23-276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