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https://www.autoritedelaconcurrence.fr/fr/decision-de-controle-des-concentrations/relative-la-prise-de-controle-exclusif-du-groupe-sante</w:t>
      </w:r>
    </w:p>
    <w:p>
      <w:r>
        <w:t>Pages translated : 2</w:t>
      </w:r>
    </w:p>
    <w:p/>
    <w:p>
      <w:r>
        <w:rPr>
          <w:b/>
        </w:rPr>
        <w:t>[Pages 1–2]</w:t>
      </w:r>
    </w:p>
    <w:p>
      <w:r>
        <w:t xml:space="preserve">FRENCH REPUBLIC  </w:t>
        <w:br/>
        <w:t xml:space="preserve">Decision No. 20-DCC-29 of February 25, 2020  </w:t>
        <w:br/>
        <w:t xml:space="preserve">regarding the exclusive control acquisition of the Santé Compagnie group by  </w:t>
        <w:br/>
        <w:t xml:space="preserve">the company Ardian France  </w:t>
        <w:br/>
        <w:t xml:space="preserve">The Competition Authority,  </w:t>
        <w:br/>
        <w:t xml:space="preserve">Having regard to the complete notification file sent to the mergers department on January 30, 2020,  </w:t>
        <w:br/>
        <w:t xml:space="preserve">concerning the exclusive control acquisition of the Santé Compagnie group by the company Ardian France  </w:t>
        <w:br/>
        <w:t xml:space="preserve">and materialized by a purchase promise dated January 13, 2020.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company Ardian France of the  </w:t>
        <w:br/>
        <w:t xml:space="preserve">Santé Compagnie group, which is active in the market for the provision of home healthcare services. It constitutes a concentration operation within the meaning of Article L. 430-1 of the Commercial Code. Given the turnover achieved by the companies involved,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20-022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