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https://www.autoritedelaconcurrence.fr/fr/decision-de-controle-des-concentrations/relative-la-prise-de-controle-exclusif-du-groupe-santiane</w:t>
      </w:r>
    </w:p>
    <w:p>
      <w:r>
        <w:t>Pages translated : 2</w:t>
      </w:r>
    </w:p>
    <w:p/>
    <w:p>
      <w:r>
        <w:rPr>
          <w:b/>
        </w:rPr>
        <w:t>[Pages 1–2]</w:t>
      </w:r>
    </w:p>
    <w:p>
      <w:r>
        <w:t xml:space="preserve">FRENCH REPUBLIC  </w:t>
        <w:br/>
        <w:t xml:space="preserve">Decision No. 26-DCC-154 of July 17, 2026  </w:t>
        <w:br/>
        <w:t xml:space="preserve">regarding the exclusive control acquisition of the Santiane group by  </w:t>
        <w:br/>
        <w:t xml:space="preserve">Kereis Holding Company  </w:t>
        <w:br/>
        <w:t xml:space="preserve">The Competition Authority,  </w:t>
        <w:br/>
        <w:t xml:space="preserve">Having regard to the complete notification file sent to the mergers department on June 24, 2026,  </w:t>
        <w:br/>
        <w:t xml:space="preserve">concerning the exclusive control acquisition of the Santiane group by Kereis Holding Company,  </w:t>
        <w:br/>
        <w:t xml:space="preserve">formalized by a purchase promise dated May 18, 2026;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Kereis Holding Company, indirectly  </w:t>
        <w:br/>
        <w:t xml:space="preserve">controlled by private equity funds managed or advised by Advent International,  </w:t>
        <w:br/>
        <w:t xml:space="preserve">of exclusive control of the Santiane group, primarily active in the personal insurance brokerage sector. The operation constitutes a concentration within the meaning of Article L. 430-1 of the Commercial Code. Given the revenues generated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26-125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