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https://www.autoritedelaconcurrence.fr/fr/decision-de-controle-des-concentrations/relative-la-prise-de-controle-exclusif-du-groupe-sarmates</w:t>
      </w:r>
    </w:p>
    <w:p>
      <w:r>
        <w:t>Pages translated : 2</w:t>
      </w:r>
    </w:p>
    <w:p/>
    <w:p>
      <w:r>
        <w:rPr>
          <w:b/>
        </w:rPr>
        <w:t>[Pages 1–2]</w:t>
      </w:r>
    </w:p>
    <w:p>
      <w:r>
        <w:t xml:space="preserve">FRENCH REPUBLIC  </w:t>
        <w:br/>
        <w:t xml:space="preserve">Decision No. 23-DCC-114 of June 9, 2023  </w:t>
        <w:br/>
        <w:t xml:space="preserve">regarding the exclusive control acquisition of the Sarmates group by the  </w:t>
        <w:br/>
        <w:t xml:space="preserve">company Andera Partners  </w:t>
        <w:br/>
        <w:t xml:space="preserve">The Competition Authority,  </w:t>
        <w:br/>
        <w:t xml:space="preserve">Having regard to the complete notification file sent to the mergers department on May 22, 2023,  </w:t>
        <w:br/>
        <w:t xml:space="preserve">concerning the exclusive control acquisition of the company Sarmates and its subsidiaries by the company Andera Partners, formalized by an offer letter dated March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Sarmates and its subsidiaries by the asset management company Andera Partners. The company Sarmates and its subsidiaries are active in the construction sector, notably in structural work, finishing work, and home repair, maintenance, and servicing. The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23-110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