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https://www.autoritedelaconcurrence.fr/fr/decision-de-controle-des-concentrations/relative-la-prise-de-controle-exclusif-du-groupe-sateba-par</w:t>
      </w:r>
    </w:p>
    <w:p>
      <w:r>
        <w:t>Pages translated : 35</w:t>
      </w:r>
    </w:p>
    <w:p/>
    <w:p>
      <w:r>
        <w:rPr>
          <w:b/>
        </w:rPr>
        <w:t>[Pages 1–3]</w:t>
      </w:r>
    </w:p>
    <w:p>
      <w:r>
        <w:t xml:space="preserve">FRENCH REPUBLIC  </w:t>
        <w:br/>
        <w:t xml:space="preserve">Decision No. 25-DCC-220 of September 29, 2025  </w:t>
        <w:br/>
        <w:t xml:space="preserve">regarding the exclusive control of the Sateba group  </w:t>
        <w:br/>
        <w:t xml:space="preserve">by the Vossloh group  </w:t>
        <w:br/>
        <w:t xml:space="preserve">The Competition Authority,  </w:t>
        <w:br/>
        <w:t xml:space="preserve">Having regard to the notification file regarding the exclusive control of the Sateba group by the Vossloh group submitted to the merger service on June 12, 2025, and declared complete on July 15, 2025, formalized by a share transfer agreement dated August 8, 2024;  </w:t>
        <w:br/>
        <w:t xml:space="preserve">Having regard to Book IV of the Commercial Code relating to price freedom and competition, and in particular its Articles L. 430-1 to L. 430-7;  </w:t>
        <w:br/>
        <w:t xml:space="preserve">Having regard to the supplementary elements submitted by the notifying party during the investigation;  </w:t>
        <w:br/>
        <w:t xml:space="preserve">Having regard to the commitments filed on August 5, 2025, and last modified on September 5, 2025, by the notifying party;  </w:t>
        <w:br/>
        <w:t xml:space="preserve">Having regard to the other documents in the file;  </w:t>
        <w:br/>
        <w:t>Adopts the following decision:</w:t>
      </w:r>
    </w:p>
    <w:p>
      <w:r>
        <w:t xml:space="preserve">SUMMARY  </w:t>
        <w:br/>
        <w:t xml:space="preserve">I. THE COMPANIES CONCERNED AND THE OPERATION ........ 4  </w:t>
        <w:br/>
        <w:t xml:space="preserve">II. PRESENTATION OF THE SECTOR AND DELIMITATION OF  </w:t>
        <w:br/>
        <w:t xml:space="preserve">RELEVANT MARKETS ............................................................................ 4  </w:t>
        <w:br/>
        <w:t xml:space="preserve">A. THE RAILWAY INFRASTRUCTURE SECTOR ........................ 4  </w:t>
        <w:br/>
        <w:t xml:space="preserve">B. CHARACTERISTICS OF THE RAILWAY INFRASTRUCTURE  </w:t>
        <w:br/>
        <w:t xml:space="preserve">SECTOR .............................................................................................................. 6  </w:t>
        <w:br/>
        <w:t xml:space="preserve">1. Necessary interoperability among the actors ............................................................. 6  </w:t>
        <w:br/>
        <w:t xml:space="preserve">2. A multifaceted demand .................................................................................................. 7  </w:t>
        <w:br/>
        <w:t xml:space="preserve">a) A variety of clients ..................................................................................................... 7  </w:t>
        <w:br/>
        <w:t xml:space="preserve">SNCF Réseau ....................................................................................................................... 7  </w:t>
        <w:br/>
        <w:t xml:space="preserve">RATP .................................................................................................................................... 7  </w:t>
        <w:br/>
        <w:t xml:space="preserve">Other clients (other network managers, track layers) ................................................ 7  </w:t>
        <w:br/>
        <w:t xml:space="preserve">b) Different procurement modalities ........................................................................... 8  </w:t>
        <w:br/>
        <w:t xml:space="preserve">3. Characteristics of the supply .......................................................................................... 9  </w:t>
        <w:br/>
        <w:t xml:space="preserve">C. DEFINITION OF PRODUCT MARKETS .......................................... 11  </w:t>
        <w:br/>
        <w:t xml:space="preserve">1. Markets for the supply of complete systems for railway infrastructure ................. 11  </w:t>
        <w:br/>
        <w:t xml:space="preserve">2. Markets for the supply of subsystems for railway infrastructure ......................... 13  </w:t>
        <w:br/>
        <w:t xml:space="preserve">3. Markets for the supply of components for railway infrastructure ......................... 15  </w:t>
        <w:br/>
        <w:t xml:space="preserve">D. GEOGRAPHICAL MARKETS .................................................................... 16  </w:t>
        <w:br/>
        <w:t xml:space="preserve">III. COMPETITIVE ANALYSIS .............................................. 17  </w:t>
        <w:br/>
        <w:t xml:space="preserve">A. ANALYSIS OF HORIZONTAL EFFECTS ................................................. 18  </w:t>
        <w:br/>
        <w:t xml:space="preserve">B. ANALYSIS OF VERTICAL EFFECTS ........................................................ 19  </w:t>
        <w:br/>
        <w:t xml:space="preserve">1. On the risk of lock-in between fastening systems and components of fastening  </w:t>
        <w:br/>
        <w:t xml:space="preserve">systems .................................................................................................................... 19  </w:t>
        <w:br/>
        <w:t xml:space="preserve">2. On the risk of lock-in between pre-assembled sleepers and fastening systems ......................................................................................................................................... 21  </w:t>
        <w:br/>
        <w:t xml:space="preserve">a) Presentation of risks .............................................................................................. 22  </w:t>
        <w:br/>
        <w:t xml:space="preserve">b) Ability of the new entity to implement a profitable and anti-competitive lock-in of  </w:t>
        <w:br/>
        <w:t xml:space="preserve">markets ...................................................................................................................... 22  </w:t>
        <w:br/>
        <w:t xml:space="preserve">Presentation of the methodology used to recalculate market shares ................ 22  </w:t>
        <w:br/>
        <w:t xml:space="preserve">Market shares of the parties ....................................................................................... 23  </w:t>
        <w:br/>
        <w:t xml:space="preserve">3. On the risk of lock-in between complete switch systems and concrete supports ....................................................................................................................................... 24  </w:t>
        <w:br/>
        <w:t xml:space="preserve">a) Analysis of the lock-in risk by clientele ................................................................. 24  </w:t>
        <w:br/>
        <w:t xml:space="preserve">Presentation of the lock-in risk ................................................................................ 24  </w:t>
        <w:br/>
        <w:t xml:space="preserve">Ability of the new entity to implement a lock-in of clientele ............................. 25  </w:t>
        <w:br/>
        <w:t xml:space="preserve">Market shares of the parties ....................................................................................... 25  </w:t>
        <w:br/>
        <w:t xml:space="preserve">Conclusion on the ability of the new entity to implement a lock-in of clientele .......................................................................................................................... 26  </w:t>
        <w:br/>
        <w:t xml:space="preserve">Incentives for the new entity to implement a lock-in of clientele ......................... 26  </w:t>
        <w:br/>
        <w:t xml:space="preserve">Conclusion ......................................................................................................................... 26  </w:t>
        <w:br/>
        <w:t xml:space="preserve">b) Analysis of input lock-in risks ............................................................................... 27  </w:t>
        <w:br/>
        <w:t xml:space="preserve">Presentation of the input lock-in risk ...................................................................... 27  </w:t>
        <w:br/>
        <w:t xml:space="preserve">Ability of the new entity to implement an input lock-in ......................................... 27  </w:t>
        <w:br/>
        <w:t xml:space="preserve">Incentives for the new entity to implement an input lock-in ................................. 28  </w:t>
        <w:br/>
        <w:t xml:space="preserve">Effects of an input lock-in by the new entity ............................................................ 29  </w:t>
        <w:br/>
        <w:t xml:space="preserve">Conclusion ......................................................................................................................... 30  </w:t>
        <w:br/>
        <w:t xml:space="preserve">C. ANALYSIS OF CONGLOMERATE EFFECTS ............................................ 30  </w:t>
        <w:br/>
        <w:t xml:space="preserve">IV. COMMITMENTS............................................................................ 31  </w:t>
        <w:br/>
        <w:t xml:space="preserve">A. THE PROPOSED COMMITMENTS ............................................................... 31  </w:t>
        <w:br/>
        <w:t xml:space="preserve">B. ASSESSMENT OF THE PROPOSED COMMITMENTS ............................... 32  </w:t>
        <w:br/>
        <w:t xml:space="preserve">1. On the nature of the commitment ................................................................................ 32  </w:t>
        <w:br/>
        <w:t xml:space="preserve">2. On its adequacy .............................................................................................................. 32  </w:t>
        <w:br/>
        <w:t xml:space="preserve">a) On the scope of the commitment ........................................................................... 33  </w:t>
        <w:br/>
        <w:t xml:space="preserve">b) On the non-discriminatory nature of the commitment ......................................... 33  </w:t>
        <w:br/>
        <w:t xml:space="preserve">c) On the notice period in case of reference cessation ............................................. 33  </w:t>
        <w:br/>
        <w:t xml:space="preserve">d) On the duration of the commitment .......................................................................... 34  </w:t>
        <w:br/>
        <w:t xml:space="preserve">e) Conclusion .................................................................................................................... 34  </w:t>
        <w:br/>
        <w:t>DECIDES .............................................................................................................................. 35</w:t>
      </w:r>
    </w:p>
    <w:p>
      <w:r>
        <w:rPr>
          <w:b/>
        </w:rPr>
        <w:t>[Pages 4–6]</w:t>
      </w:r>
    </w:p>
    <w:p>
      <w:r>
        <w:t xml:space="preserve">I. The Concerned Companies and the Operation  </w:t>
        <w:br/>
        <w:t xml:space="preserve">1. Vossloh Aktiengesellschaft (hereinafter "Vossloh") is a German group owned at [confidential] % by the Heinz Hermann Thiele Family Foundation. It operates in nearly 30 countries, including France, in the railway infrastructure sector as a supplier of switch systems, fastening systems, and certain components of these systems.  </w:t>
        <w:br/>
        <w:t xml:space="preserve">2. Villé Holding Participations is a French company controlled by the American private equity firm Towerbrook Capital Partners. It holds 100% of the share capital and voting rights of the Sateba group (hereinafter "Sateba"), which is active in the railway infrastructure sector as a supplier of sleepers and concrete supports. Sateba acquired the French company Vapérail in 2023, which manufactures components of fastening systems.  </w:t>
        <w:br/>
        <w:t xml:space="preserve">3. The present operation concerns the acquisition of all the share capital and voting rights of Villé Holding Participations by Vossloh. As it results in the exclusive control of Sateba by Vossloh, the notified operation constitutes a concentration within the meaning of Article L. 430-1 of the Commercial Code.  </w:t>
        <w:br/>
        <w:t xml:space="preserve">4. The concerned companies together achieve a total worldwide turnover excluding taxes of more than 150 million euros (Vossloh: [≥ 150 million] euros for the fiscal year ending December 31, 2024; Sateba: [≥ 150] million euros for the same fiscal year). Each of these companies has achieved a turnover in France exceeding 50 million euros (Vossloh: [≥ 50] million euros for the fiscal year ending December 31, 2024; Sateba: [≥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Presentation of the Sector and Delimitation of Relevant Markets  </w:t>
        <w:br/>
        <w:t xml:space="preserve">5. In order to allow for a better understanding of the effects of the operation on competition, the definition of product (C) and geographical (D) markets is preceded by a general presentation of the railway infrastructure sector (A) and its specific characteristics (B).  </w:t>
        <w:br/>
        <w:t xml:space="preserve">A. THE RAILWAY INFRASTRUCTURE SECTOR  </w:t>
        <w:br/>
        <w:t xml:space="preserve">6. Railway infrastructure is an industrial ecosystem whose various elements (hereinafter referred to as "railway material") allow railway vehicles (trains, metros, trams) to operate on a railway track composed of rails supported by sleepers, which help maintain a constant gauge between the rails.  </w:t>
        <w:br/>
        <w:t xml:space="preserve">7. Fastening systems allow the rails to be fixed to the sleepers. This assembly forms the pre-assembled sleepers.  </w:t>
        <w:br/>
        <w:t xml:space="preserve">8. In cases where multiple railway tracks intersect, or where multiple directions are possible, the railway track is equipped with a switch system that allows the railway vehicle to be directed onto the desired track. This part of the track, called the "complete switch system" or "track device," consists of a switch system, supported by concrete supports of various sizes and fixed to the rails by fastening systems.  </w:t>
        <w:br/>
        <w:t xml:space="preserve">9. The railway track is therefore mainly composed of two systems: pre-assembled sleepers and complete switch systems.  </w:t>
        <w:br/>
        <w:t xml:space="preserve">Figure 1 – Structure of the Railway Track – (source: notifying party)  </w:t>
        <w:br/>
        <w:t xml:space="preserve">10. Each of these systems consists of "sub-systems":  </w:t>
        <w:br/>
        <w:t xml:space="preserve">- A pre-assembled sleeper consists of a concrete sleeper and a fastening system.  </w:t>
        <w:br/>
        <w:t xml:space="preserve">- A complete switch system consists of a switch system, concrete supports, and fastening systems.  </w:t>
        <w:br/>
        <w:t xml:space="preserve">11. Among these sub-systems, the switch system and the fastening system (for sleeper or support) are themselves made up of the assembly of several components.  </w:t>
        <w:br/>
        <w:t xml:space="preserve">12. The switch system consists of a switch, a crossing where the railway vehicle can change tracks, and an intermediate part located between the switch and the crossing.  </w:t>
        <w:br/>
        <w:t xml:space="preserve">13. The fastening system mainly consists of the fastening element, which allows a sleeper or support to be fixed to the rails. The stop, anchoring, and base plate are other components that can be used in a fastening system.  </w:t>
        <w:br/>
        <w:t xml:space="preserve">14. In summary, for the purposes of the analysis of this concentration, the main products that make up a railway track can be represented by the following diagram (in blue, upstream, the components; in orange, the sub-systems; and in green, downstream, the systems).  </w:t>
        <w:br/>
        <w:t xml:space="preserve">1 In addition to the railway track, other elements such as signaling, catenaries, and ballast are included to form the railway infrastructure. However, these will not be developed in this decision as they do not fall under markets concerned by the operation.  </w:t>
        <w:br/>
        <w:t xml:space="preserve">Figure 2 – Diagram of Systems, Sub-systems, and Components of a Railway Track – (internal source)  </w:t>
        <w:br/>
        <w:t xml:space="preserve">B. CHARACTERISTICS OF THE RAILWAY INFRASTRUCTURE SECTOR  </w:t>
        <w:br/>
        <w:t xml:space="preserve">15. The railway infrastructure sector is characterized not only by a strong interdependence among the actors (1), but also by a multifaceted demand (2) and a limited supply (3).  </w:t>
        <w:br/>
        <w:t xml:space="preserve">1. NECESSARY INTEROPERABILITY AMONG THE ACTORS  </w:t>
        <w:br/>
        <w:t xml:space="preserve">16. To ensure the interoperability and safety of the products they manufacture, a strong interdependence binds the actors of the railway infrastructure at all levels of the value chain.  </w:t>
        <w:br/>
        <w:t xml:space="preserve">17. This is an essential characteristic of this sector given the numerous elements involved in the construction of a railway track and the associated challenges, particularly in terms of safety and environmental impact.  </w:t>
        <w:br/>
        <w:t xml:space="preserve">18. To meet these requirements, testing and certifications are necessary.  </w:t>
        <w:br/>
        <w:t xml:space="preserve">19. At the European level, technical interoperability specifications impose common parameters to allow for the circulation of trains between member states (such as a specific rail gauge, track resistance capacity for different loads, or the design of a passage within the complete switch system).  </w:t>
        <w:br/>
        <w:t>20. At the national level, railway managers may require, in addition to compliance with these European standards, adherence to more specific specifications through a specifications document, particularly regarding the desired characteristics and performance of the product or the quality control ensured by suppliers. This is particularly the case for</w:t>
      </w:r>
    </w:p>
    <w:p>
      <w:r>
        <w:rPr>
          <w:b/>
        </w:rPr>
        <w:t>[Pages 7–9]</w:t>
      </w:r>
    </w:p>
    <w:p>
      <w:r>
        <w:t xml:space="preserve">SNCF Réseau, which, for sleepers, concrete supports, fastening systems, and switch systems, imposes a specific approval process on its suppliers.  </w:t>
        <w:br/>
        <w:t>21. Thus, interoperability among the components, subsystems, and systems in which they are integrated is essential for the proper functioning of the railway, and more broadly of the railway infrastructure, especially since there are numerous references for each of the railway materials, allowing them to be adapted to the specific needs of the railway network managers.</w:t>
      </w:r>
    </w:p>
    <w:p>
      <w:r>
        <w:t xml:space="preserve">2. A MULTIFACETED DEMAND  </w:t>
        <w:br/>
        <w:t xml:space="preserve">a) A variety of clients  </w:t>
        <w:br/>
        <w:t xml:space="preserve">22. The railway networks in France consist of the national railway network and urban and suburban networks, which include trams and metros in major cities. Thus, public transport in Île-de-France is operated by three entities (SNCF Réseau, the Régie autonome des transports parisiens (hereinafter "RATP"), and the Grand Paris Express). Other major cities also have their own railway network operators. Depending on the choice of the mobility organizing authority, this can involve direct management such as the Compagnie des Transports Strasbourgeois (CTS) or Tisséo, the public transport authority of the Toulouse metropolitan area. The mobility organizing authority may also choose to delegate the management of the network and its maintenance to a private operator, such as Kéolis, for example, which manages and operates the railway network of the Lille metropolitan area.  </w:t>
        <w:br/>
        <w:t>23. Thus, the clients of railway infrastructure differ by their nature, size, and level of expertise.</w:t>
      </w:r>
    </w:p>
    <w:p>
      <w:r>
        <w:t xml:space="preserve">SNCF Réseau  </w:t>
        <w:br/>
        <w:t>24. In the French market, SNCF Réseau stands out due to the size of its railway network (approximately 28,000 kilometers) and is, by far, the largest buyer of railway materials. SNCF Réseau sources directly from suppliers for components, subsystems, and systems. It has the skills and resources to assemble complete switch systems itself.</w:t>
      </w:r>
    </w:p>
    <w:p>
      <w:r>
        <w:t xml:space="preserve">RATP  </w:t>
        <w:br/>
        <w:t>25. RATP manages the second railway network in France with nearly 500 kilometers of tracks. Like SNCF Réseau, this railway infrastructure manager has its own assembly site in La Villette, Paris, which allows it to produce part of the complete switch systems necessary for the operation of its network.</w:t>
      </w:r>
    </w:p>
    <w:p>
      <w:r>
        <w:t xml:space="preserve">Other clients (other network managers, track layers)  </w:t>
        <w:br/>
        <w:t>26. Other actors (Grand Paris Express, Kéolis, Tisséo, CTS, etc.) differ from SNCF Réseau and RATP, particularly due to the more modest size of their networks and their construction projects for new lines. Lacking their own assembly and production capabilities for railway materials, these actors source directly from suppliers by engaging project managers, specifically engineering companies specialized in railway infrastructure. These companies, such as Systra, Egis, Ingerop, or Setec, define the technical specifications of the track and then contract with track laying companies, such as Colas Rail or Eiffage. The track layers then source directly from suppliers of railway infrastructure elements.</w:t>
      </w:r>
    </w:p>
    <w:p>
      <w:r>
        <w:t xml:space="preserve">b) Different procurement modalities  </w:t>
        <w:br/>
        <w:t xml:space="preserve">27. Due to the variety of railway networks and clients, there are different procurement modalities for railway materials.  </w:t>
        <w:br/>
        <w:t xml:space="preserve">28. These may be related to the nature of the project. Indeed, there is, on one hand, a demand for the creation of new railway tracks (or sections of line), and on the other hand, a demand for the maintenance of existing networks. When creating a new line, the needs are defined by the technical specifications chosen at that time. In contrast, the needs related to the maintenance of an existing track are, in part, constrained by the existing technical specifications defined during the installation of the railway track.  </w:t>
        <w:br/>
        <w:t xml:space="preserve">29. Differences in procurement modalities may also be related to the preferences of railway network managers. Thus, it is possible for clients to procure more or less integrated products, ranging from sourcing components to sourcing complete systems.  </w:t>
        <w:br/>
        <w:t xml:space="preserve">30. In some cases, clients wish to source components directly from suppliers, particularly for the maintenance of networks, requiring only the replacement of certain parts. It may also be the client's desire, when installing a new track, to decide for themselves on each of the components used in their "infrastructure" and not to resort to already integrated products. Finally, some clients source components in order to be able to assemble subsystems or systems internally. This is particularly the case for SNCF Réseau and RATP, which carry out part of their switch systems internally.  </w:t>
        <w:br/>
        <w:t>31. Conversely, other clients prefer to procure integrated products, for example, a complete switch system, which includes both the switch system and the fastening system and supports. This allows the client to benefit from a "complete" system to prevent interoperability issues.</w:t>
      </w:r>
    </w:p>
    <w:p>
      <w:r>
        <w:t xml:space="preserve">c) A predominantly tender-based operation  </w:t>
        <w:br/>
        <w:t xml:space="preserve">32. The railway infrastructure sector predominantly operates through tenders in which the duration of supply contracts may vary according to the conditions set by the contracting authority.  </w:t>
        <w:br/>
        <w:t xml:space="preserve">33. Public procurement rules do not require, for certain maintenance contracts, to resort to tenders. Although, to date, a large portion of contracts result from tenders, this procedure is not mandatory.  </w:t>
        <w:br/>
        <w:t xml:space="preserve">34. In the case of a tender, end clients, relying, where appropriate, on engineering companies and track layers, impose technical specifications. The ability of suppliers to meet the technical specifications varies greatly depending on the projects and clients: in some cases, the technical specifications of the tenders are open, allowing suppliers to propose several references to meet the same need, while in other situations, the technical specifications are exclusive, so that only one bidder is able to propose the product corresponding to the specifications. Thus, for switch systems, for example, the specifications may allow the supplier great freedom in choosing the components to use or conversely impose each component.  </w:t>
        <w:br/>
        <w:t xml:space="preserve">35. Finally, in the context of market tests conducted during the investigation, some clients indicated that they sometimes resort to negotiated contracts due to, in particular, the nature of the service (maintenance), the lower amounts of certain services, or for intellectual property rights issues.  </w:t>
        <w:br/>
        <w:t>36. As a result of all these elements, the demand for railway materials has strong negotiating power, particularly for SNCF Réseau and RATP, which purchase nearly all of these products in France.</w:t>
      </w:r>
    </w:p>
    <w:p>
      <w:r>
        <w:t xml:space="preserve">3. CHARACTERISTICS OF THE SUPPLY  </w:t>
        <w:br/>
        <w:t xml:space="preserve">37. Due to the complexity and the degree of knowledge required to enter the sector of supplying materials related to railway infrastructure, it is characterized by a limited number of suppliers and high barriers to entry.  </w:t>
        <w:br/>
        <w:t xml:space="preserve">38. Depending on the elements of railway infrastructure, suppliers are able to meet their clients' needs at different stages of component assembly. They may specialize in a single product or provide several.  </w:t>
        <w:br/>
        <w:t xml:space="preserve">39. In this regard, the operation will allow the new entity to be present in almost all railway materials in Europe.  </w:t>
        <w:br/>
        <w:t>40. Thus, the diagram presented in point 14 of this decision is reproduced below, identifying the different levels of supply in railway materials on which Vossloh (in blue) and Sateba (in green) are active, prior to the operation:</w:t>
      </w:r>
    </w:p>
    <w:p>
      <w:r>
        <w:rPr>
          <w:b/>
        </w:rPr>
        <w:t>[Pages 10–12]</w:t>
      </w:r>
    </w:p>
    <w:p>
      <w:r>
        <w:t xml:space="preserve">Figure 2.bis – Diagram of systems, subsystems, and components of a railway track (presence of the notifying party) – (internal source)  </w:t>
        <w:br/>
        <w:t xml:space="preserve">41. Vossloh markets the following products:  </w:t>
        <w:br/>
        <w:t xml:space="preserve">– complete switch systems, competing notably with the company voestalpine;  </w:t>
        <w:br/>
        <w:t xml:space="preserve">– switch systems, competing with the companies voestalpine and Rail Europe Solutions;  </w:t>
        <w:br/>
        <w:t xml:space="preserve">– components of switch systems8 (such as switches, intermediate parts, and crossings), competing with companies like voestalpine, CCB (a subsidiary of Rail Europe Solutions), and European foundries, such as De Roda, SIF, and Fonderie de Brousseval or Fonderie de Montreuil;  </w:t>
        <w:br/>
        <w:t xml:space="preserve">– fastening systems, competing with the company Pandrol; and,  </w:t>
        <w:br/>
        <w:t xml:space="preserve">– components of fastening systems, the fastening ([confidential]), the stop, and the anchoring, competing mainly with the company Pandrol, but also with players such as Mecelec, Tecmaplast, or Ars Industries.  </w:t>
        <w:br/>
        <w:t xml:space="preserve">42. Sateba markets the following products:  </w:t>
        <w:br/>
        <w:t xml:space="preserve">– pre-assembled sleepers, competing notably with the company Margaritelli;  </w:t>
        <w:br/>
        <w:t xml:space="preserve">– concrete supports, competing with companies like Margaritelli, B-Rail, and Rail-One;  </w:t>
        <w:br/>
        <w:t xml:space="preserve">– concrete sleepers, competing with companies like Margaritelli, B-Rail, and Sablière de Chappes; and,  </w:t>
        <w:br/>
        <w:t xml:space="preserve">8 See, in this regard, the decision-making practice cited in footnotes 17 and following of this decision.  </w:t>
        <w:br/>
        <w:t>10</w:t>
      </w:r>
    </w:p>
    <w:p>
      <w:r>
        <w:t xml:space="preserve">– components of fastening systems, the fastening (or blade)9, the stop, and the anchoring, competing mainly with Pandrol, but also with players such as Mecelec, Tecmaplast, or Ars Industries.  </w:t>
        <w:br/>
        <w:t xml:space="preserve">C. DEFINITION OF PRODUCT MARKETS  </w:t>
        <w:br/>
        <w:t xml:space="preserve">43. The notifying party proposed, based on the decision-making practice of competition authorities, to define product markets by distinguishing between switch systems, sleepers, and concrete supports and their fastening systems10.  </w:t>
        <w:br/>
        <w:t xml:space="preserve">44. It emerges from the investigation that there are three main categories of products in the railway infrastructure sector:  </w:t>
        <w:br/>
        <w:t xml:space="preserve">– complete systems, that is to say, assembled products such as complete switch systems or pre-assembled sleepers;  </w:t>
        <w:br/>
        <w:t xml:space="preserve">– subsystems, such as switch systems, concrete sleepers, concrete supports, and fastening systems; and,  </w:t>
        <w:br/>
        <w:t xml:space="preserve">– components of certain of these subsystems.  </w:t>
        <w:br/>
        <w:t xml:space="preserve">45. This structuring of the railway infrastructure sector, which distinguishes manufacturers of products according to their degree of assembly, is comparable to that which the decision-making practice of French11 and European12 competition authorities has retained in the aerospace or automotive industries, in particular. In this regard, competition authorities notably distinguish Original Equipment Manufacturers (hereinafter, "OEM") who are capable of designing and manufacturing finished products, Tier 1 subcontractors who have the capacity to deliver complete parts or modules of a structure, and Tier 2 subcontractors who supply components and sub-assemblies to OEMs or Tier 1 subcontractors.  </w:t>
        <w:br/>
        <w:t xml:space="preserve">1. MARKETS FOR THE SUPPLY OF COMPLETE SYSTEMS FOR RAILWAY INFRASTRUCTURE  </w:t>
        <w:br/>
        <w:t xml:space="preserve">46. The railway materials concerned under this operation can be grouped into two main systems: pre-assembled sleepers and complete switch systems.  </w:t>
        <w:br/>
        <w:t xml:space="preserve">47. Pre-assembled sleepers consist of the sleeper, on which a fastening system is mounted, and any other components13. The sleeper manufacturer is the supplier of the pre-assembled sleeper to the end customer: they carry out the assembly of the various components and subsystems in accordance with the technical specifications of their customer. The rail fastening,  </w:t>
        <w:br/>
        <w:t xml:space="preserve">9 Ibid.  </w:t>
        <w:br/>
        <w:t xml:space="preserve">10 Ibid.  </w:t>
        <w:br/>
        <w:t xml:space="preserve">11 See in this regard the decision of the Competition Authority No. 16-DCC-148 of September 23, 2016, concerning the exclusive control of the company AD Industrie by Stirling Square Capital Partners.  </w:t>
        <w:br/>
        <w:t xml:space="preserve">12 See the decisions of the European Commission M. 6581 GKN/Volvo Aero of September 3, 2012, and M.8102 Valeo/FTE Group of October 13, 2017.  </w:t>
        <w:br/>
        <w:t xml:space="preserve">13 For example, PRA pads, which are pads "cast with the sleeper during the manufacturing process, and [aiming] to reduce ballast attrition (wear) in order to increase its lifespan."  </w:t>
        <w:br/>
        <w:t>11</w:t>
      </w:r>
    </w:p>
    <w:p>
      <w:r>
        <w:t xml:space="preserve">connecting the rail and the sleeper, can be fixed either by being screwed or by being "clipped," depending on the anchoring element chosen.  </w:t>
        <w:br/>
        <w:t xml:space="preserve">Figure 3 - Example of a pre-assembled concrete sleeper, with a Nabla fastening system (with screw anchor) – (source: notifying party)  </w:t>
        <w:br/>
        <w:t xml:space="preserve">48. Complete switch systems, for their part, encompass all the elements allowing the orientation of a railway vehicle, particularly in the case of track crossings. This system integrates several subsystems (supports, switch systems, and fastening systems), which themselves consist of numerous components.  </w:t>
        <w:br/>
        <w:t xml:space="preserve">49. Thus, OEM-type actors14 market these complete systems that they manufacture in-house15 or by purchasing components from third parties for assembly.  </w:t>
        <w:br/>
        <w:t xml:space="preserve">50. The parties to the operation and their competitors are active in these markets as follows:  </w:t>
        <w:br/>
        <w:t xml:space="preserve">– Vossloh is an OEM-type actor in that it markets complete switch systems;  </w:t>
        <w:br/>
        <w:t xml:space="preserve">– Sateba is also an OEM-type actor in that it markets pre-assembled sleepers; and,  </w:t>
        <w:br/>
        <w:t xml:space="preserve">– the companies voestalpine and Margaritelli are competing OEM-type actors of the parties respectively in the market for complete switch systems and that of pre-assembled sleepers.  </w:t>
        <w:br/>
        <w:t xml:space="preserve">51. Thus, it is appropriate to retain a market for the supply of systems for railway infrastructure by segmenting it between, on the one hand, the supply of complete switch systems, and on the other hand, the supply of pre-assembled sleepers.  </w:t>
        <w:br/>
        <w:t xml:space="preserve">14 Represented in green on the diagram at point 14.  </w:t>
        <w:br/>
        <w:t xml:space="preserve">15 To date, only SNCF Réseau and RATP are able to do so, but they do not market to third parties the products they manufacture.  </w:t>
        <w:br/>
        <w:t>12</w:t>
      </w:r>
    </w:p>
    <w:p>
      <w:r>
        <w:rPr>
          <w:b/>
        </w:rPr>
        <w:t>[Pages 13–15]</w:t>
      </w:r>
    </w:p>
    <w:p>
      <w:r>
        <w:t xml:space="preserve">2. MARKETS FOR THE SUPPLY OF SUB-SYSTEMS FOR RAILWAY INFRASTRUCTURE  </w:t>
        <w:br/>
        <w:t xml:space="preserve">52. Tier 1 subcontractors16 are actors who manufacture and market sub-systems, i.e., switching systems, fastening systems, sleepers, and concrete supports that are generally integrated into a complete system, either directly by the end customer or by an "OEM" type actor.  </w:t>
        <w:br/>
        <w:t xml:space="preserve">53. The parties to the operation and their competitors are active in these markets as follows:  </w:t>
        <w:br/>
        <w:t xml:space="preserve">- Vossloh is a Tier 1 actor in that it markets both switching systems and fastening systems;  </w:t>
        <w:br/>
        <w:t xml:space="preserve">- Sateba is also a Tier 1 actor in that it markets both sleepers and concrete supports; and,  </w:t>
        <w:br/>
        <w:t xml:space="preserve">- the companies B-rail, Rail One, voestalpine, Pandrol, and Sablière de Chappes are competing Tier 1 actors of the parties in these markets.  </w:t>
        <w:br/>
        <w:t xml:space="preserve">54. Taking into account the decision-making practice that has already defined several markets for railway infrastructure sub-system products, four distinct product markets can be identified that are concerned by the operation:  </w:t>
        <w:br/>
        <w:t xml:space="preserve">- The supply of concrete sleepers17. Concrete sleepers serve to support and maintain an adequate spacing between the rails. Sleepers can be laid on ballast or cast into a concrete track. They can be monoblock or biblock (two concrete blocks connected by a steel bar). While sleepers are standardized products, some meet specific technical specifications, for example, high vibration attenuation sleepers that allow for a reduction of vibrations generated by the passage of railway vehicles. In any case, it is not necessary to conclude on the precise delimitation of the market for the supply of concrete sleepers as the conclusions of the competitive analysis remain unchanged regardless of the segmentation considered.  </w:t>
        <w:br/>
        <w:t xml:space="preserve">- The supply of concrete supports18. Concrete supports have a shape and manufacturing process similar to sleepers, but they are only used with switching systems. They come in different sizes to adapt to the curvature of the switch and must withstand greater forces than sleepers. They are more complex products than concrete sleepers and thus constitute a distinct product market.  </w:t>
        <w:br/>
        <w:t xml:space="preserve">16 Represented in orange on the diagram at point 14.  </w:t>
        <w:br/>
        <w:t xml:space="preserve">17 See, in this regard, the letter from the Minister of Economy, Finance and Industry dated May 14, 2007, C2007-22, regarding a concentration in the sector of railway track laying and maintenance (on the existence of a market for the manufacture and marketing of concrete sleepers for railway tracks, metro tracks, and tram tracks, while leaving the exact definition of the product market open). Other materials may be used for the manufacture of sleepers. However, their use remains marginal. Thus, the use of wooden sleepers, which have been gradually replaced by concrete since the 1970s, is now limited to secondary lines. Composite or steel sleepers are also used, but only for specific uses. Similarly, any potential segmentation based on the shape of the sleeper (bi-block or mono-block) or its laying (on ballast or cast in concrete) does not appear relevant given their substitutable nature.  </w:t>
        <w:br/>
        <w:t>18 Ibid, footnote 17.</w:t>
      </w:r>
    </w:p>
    <w:p>
      <w:r>
        <w:t xml:space="preserve">- The supply of fastening systems19. These systems can be of different types, depending on the rail fastening and the anchoring element used. There are thus fastening systems with an "elastic blade" type fastening (Nabla systems, example used in figure 3, corresponding to element "3") produced notably by Pandrol, and systems with a spring wire type fastening (Fastclip FCX and SD systems, also produced by Pandrol, and SKL, produced notably by Vossloh). In addition to this difference in fastening used, the fastening systems will also differ according to the anchoring element used. Thus, the fastenings can be attached to the sleeper either by being screwed20 (example used in figure 3, corresponding to element "1" in the figure), or by being clipped. In any case, the decision-making practice recognizes the existence of a global market for the supply of fastening systems.  </w:t>
        <w:br/>
        <w:t xml:space="preserve">- The supply of switching systems21. This sub-system consists of three main parts: the switch, the intermediate part, and the crossing. The switch includes the switch blade (element "1" in figure 4 below) and the stock rail (element "2"), and allows for the determination of the train's orientation. The intermediate part is the section between the switch and the crossing, similar to a conventional track (but the rails are supported by supports of different sizes, not sleepers). Finally, the crossing is the part where the train's orientation occurs (with a possible change of track), which includes the track heart (element "5") and the guard rail (element "6"). In any case, the decision-making practice recognizes the existence of a global market for the supply of switching systems.  </w:t>
        <w:br/>
        <w:t xml:space="preserve">Figure 4: representation of a complete switching system – (source: notifying party)  </w:t>
        <w:br/>
        <w:t xml:space="preserve">55. Thus, the investigation services consider that it is appropriate to segment the market for the supply of sub-systems for railway infrastructure into four distinct markets:  </w:t>
        <w:br/>
        <w:t xml:space="preserve">19 See, in this regard, the decision of the European Commission, M. 1259, 06.10.1998 – Voest Alpine Stahl / Vossloh, paragraph 7 (on the recognition of a distinct market for fastening systems). See also the letter from the Minister of Economy, Finance and Industry dated September 11, 2002, to the counsel of Vossloh AG and Cogifer, regarding a concentration in the sector of the production of goods or services intended for the railway sector (on the potential distinction between fastening systems and rail fastenings). See also the letter from the Minister of Economy, Finance and Industry dated October 22, 2003, to the counsel of Delachaux, regarding a concentration in the sector of fastening systems and rail fastenings (on the recognition of a distinct market for the sale of rail fastenings and on the absence of segmentation by type of fastenings, fastening technique, or by type of railway network).  </w:t>
        <w:br/>
        <w:t xml:space="preserve">20 With an insert, for example, Nabla fastening systems with insert, or with other elements such as a screw bolt for SKL systems, etc.  </w:t>
        <w:br/>
        <w:t>21 See, in this regard, the decisions of the European Commission, M. 2235, 19.12.2000 – Corus Group / Cogifer, paragraph 10 (on the recognition of a market for switching and crossing systems, distinct from the market for rails and the market for fastening systems) and M. 1259, 06.10.1998 – Voest Alpine Stahl / Vossloh, paragraph 7 (on the absence of segmentation between switches used for railways, metros, and trams). See also the letter from the Minister of Economy, Finance and Industry dated September 11, 2002, to the counsel of Vossloh AG and Cogifer, regarding a concentration in the sector of the production of goods or services intended for the railway sector (on the existence of distinct markets between switches and crossings).</w:t>
      </w:r>
    </w:p>
    <w:p>
      <w:r>
        <w:t xml:space="preserve">- the supply of switching systems;  </w:t>
        <w:br/>
        <w:t xml:space="preserve">- the supply of concrete supports;  </w:t>
        <w:br/>
        <w:t xml:space="preserve">- the supply of fastening systems; and  </w:t>
        <w:br/>
        <w:t>- the supply of concrete sleepers.</w:t>
      </w:r>
    </w:p>
    <w:p>
      <w:r>
        <w:t xml:space="preserve">3. MARKETS FOR THE SUPPLY OF COMPONENTS FOR RAILWAY INFRASTRUCTURE  </w:t>
        <w:br/>
        <w:t xml:space="preserve">56. Tier 2 subcontractors22 are actors who manufacture components for marketing to "OEM" type actors, Tier 1, or directly to end customers.  </w:t>
        <w:br/>
        <w:t xml:space="preserve">57. The parties to the operation and their competitors are active in these markets as follows:  </w:t>
        <w:br/>
        <w:t xml:space="preserve">- Vossloh is a Tier 2 actor in that it markets switch cores;  </w:t>
        <w:br/>
        <w:t xml:space="preserve">- Vapérail, a subsidiary of Sateba, is a Tier 2 actor in that it markets various components23 to fastening system suppliers, notably to Pandrol;  </w:t>
        <w:br/>
        <w:t xml:space="preserve">- the companies voestalpine, CCB, and Pandrol are also competing Tier 2 actors of the parties in these markets.  </w:t>
        <w:br/>
        <w:t xml:space="preserve">58. As a reminder, only switching systems and fastening systems require components concerned by this operation. As previously indicated, a switching system consists of a switch, an intermediate part, and a crossing where the railway vehicle can change tracks; the fastening system, for its part, consists of different components, such as the fastening that allows a sleeper to be fixed to the rails, and a fastening element for the fastening to the sleeper24.  </w:t>
        <w:br/>
        <w:t xml:space="preserve">59. It appears that the components used in the manufacture of switching systems and fastening systems are not the same and are not substitutable for each other. These components can therefore be distinguished according to the sub-system in which they are used. A finer segmentation could also be made by type of component, particularly for the most important components (such as the fastening for the fastening system)25. In any case, it is not necessary to pronounce on the exact delimitation of the market for the supply of components for railway infrastructure sub-systems, as the conclusions of the competitive analysis remain unchanged regardless of the segmentation considered.  </w:t>
        <w:br/>
        <w:t xml:space="preserve">22 Represented in blue on the diagram at point 14.  </w:t>
        <w:br/>
        <w:t xml:space="preserve">23 Such as guide plate insulators (stops) and NV inserts (anchors) that can, in principle and according to the notifying party, only be used with Pandrol's Nabla rail fastening. [Confidential].  </w:t>
        <w:br/>
        <w:t xml:space="preserve">24 For example, inserts or screw bolts.  </w:t>
        <w:br/>
        <w:t>25 See, in particular, for rail fastenings, the letter from the Minister of Economy, Finance and Industry, October 22, 2003, C 2003-16 which isolated rail fastenings from other components of the fastening system.</w:t>
      </w:r>
    </w:p>
    <w:p>
      <w:r>
        <w:rPr>
          <w:b/>
        </w:rPr>
        <w:t>[Pages 16–18]</w:t>
      </w:r>
    </w:p>
    <w:p>
      <w:r>
        <w:t xml:space="preserve">D. GEOGRAPHICAL MARKETS  </w:t>
        <w:br/>
        <w:t xml:space="preserve">60. The railway infrastructure sector has been the subject of national26 and European27 decision-making practices that have considered either a European or national dimension.  </w:t>
        <w:br/>
        <w:t xml:space="preserve">61. The notifying party argues that these are generally national markets. In support of this delimitation, it primarily asserted that customer specifications differ significantly from one country to another. It also emphasized that the types of customers and procurement methods can vary considerably depending on the countries. Finally, it indicated that the vast majority of systems and subsystems used in France are produced in France28.  </w:t>
        <w:br/>
        <w:t xml:space="preserve">62. In this case, the investigation, which relied on a market test conducted with the main competitors and customers of the parties, confirmed the existence of a national geographical market for all these products. However, the investigation questioned the relevance of a delimitation other than national for two of them (the supply of concrete sleepers and the supply of fastening systems).  </w:t>
        <w:br/>
        <w:t xml:space="preserve">63. Regarding the market for the supply of concrete sleepers, the investigation questioned the relevance of adopting an infranational delimitation since, according to the data provided by the parties, the average delivery distance for concrete sleepers would be approximately 300 kilometers. The notifying party nonetheless argues that the market is not of infranational dimension, notably because tenders are conducted by customers at the national level, and that the references for sleepers produced vary according to the production plants, so that it is not always the geographically closest plants that are used to fulfill the customer's order. In this case, the analysis of the operation is conducted at the national level, noting that the exact definition of the geographical market may be left open, with the conclusions of the analysis remaining unchanged.  </w:t>
        <w:br/>
        <w:t xml:space="preserve">64. Regarding the market for the supply of fastening systems, the notifying party considers that its geographical dimension would be European, or even global, insofar as “[t]he cost of transporting rail fastenings is, also due to their small size, relatively low. Moreover, the main manufacturers have an international presence and generate a large part of their revenue outside their home country.” Nevertheless, it follows from the investigation that the technical specificities of the railway network (historically built with Nabla fastenings) lead to the conclusion that a national dimension should be retained.  </w:t>
        <w:br/>
        <w:t xml:space="preserve">26 Letter from the Minister of Economy, Finance and Industry dated September 11, 2002, to the boards of Vossloh AG and Cogifer, regarding a concentration in the sector of production of goods or services intended for the railway sector.  </w:t>
        <w:br/>
        <w:t xml:space="preserve">27 Decision of the European Commission, M.2235, December 19, 2000, Corus Group / Cogifer / JV, points 11 and 12.  </w:t>
        <w:br/>
        <w:t>28 Regarding the components, they may also come from other Member States. In any case, a geographical dimension broader than national for these products does not undermine the conclusions of the competitive analysis.</w:t>
      </w:r>
    </w:p>
    <w:p>
      <w:r>
        <w:t xml:space="preserve">III. Competitive Analysis  </w:t>
        <w:br/>
        <w:t xml:space="preserve">65. As a preliminary point, it should be noted that the competitive analysis was conducted taking into account various methodological elements.  </w:t>
        <w:br/>
        <w:t xml:space="preserve">66. First, regarding the time horizon retained for the analysis, it can be recalled that “the analysis is forward-looking: it takes into account ongoing or anticipated developments over a reasonable horizon, which depends on the specificities of the sector”29.  </w:t>
        <w:br/>
        <w:t xml:space="preserve">67. Thus, the Authority must “assess the effects of the concentration over a period whose maximum duration cannot exceed the horizon of occurrence, to a sufficient degree of certainty”30.  </w:t>
        <w:br/>
        <w:t xml:space="preserve">68. However, the railway sector is one where developments occur over a long time frame, for historical, safety, and cost-related reasons. For example, an actor in the sector indicated during the investigation that “it is impossible to switch from technology A to technology B, for maintenance and safety reasons. Consequently, innovation is incremental and the operation of the network does not allow for disruptive innovation, due to the explosion of costs that such innovation would entail.” This timeframe must, however, be reconciled with the requirements of the forward-looking analysis of merger control, which must be based on elements that allow for a reasonable consideration of the effects of the operation under review.  </w:t>
        <w:br/>
        <w:t xml:space="preserve">69. Thus, the competitive analysis is based on a time horizon estimated in this case at five years, in order to take into account, in particular, developments related to barriers to entry, competitor behaviors, or the products concerned by the operation.  </w:t>
        <w:br/>
        <w:t xml:space="preserve">70. Second, it is necessary to specify the methodology retained for calculating market shares in the context of this decision.  </w:t>
        <w:br/>
        <w:t xml:space="preserve">71. The railway sector primarily operates through tender markets for supply contracts for products with often long durations31. In this regard, the parties have emphasized that the market shares of the actors can “vary considerably from one year to another depending on whether a [company] is awarded a contract or not” and that these do not therefore “constitute the best means of assessing the position of each of these actors in the market.”  </w:t>
        <w:br/>
        <w:t xml:space="preserve">72. In this case, the market shares of the parties and their competitors have been studied as the average of the last few years (2021-2024), while taking into account, where they exist, any variations during this period.  </w:t>
        <w:br/>
        <w:t xml:space="preserve">73. Furthermore, in the case of a market operating through tenders, other indicators may complement the analysis of market shares, notably “the frequency of encounters of the parties during the same tender, the probability that one of the parties wins the tender depending on whether the other party is a candidate or not, the credibility of the competitors remaining in the market after the operation, or the existence of factors likely to restrict their ability to stimulate competition”32.  </w:t>
        <w:br/>
        <w:t xml:space="preserve">29 See, in this sense, paragraph 518 of the guidelines of the Competition Authority regarding merger control (hereinafter “guidelines”).  </w:t>
        <w:br/>
        <w:t xml:space="preserve">30 See, in this sense, the judgment of the Court of May 17, 2023, GGEW / Commission, T-319/20, ECLI:EU:T:2023:263, paragraph 233.  </w:t>
        <w:br/>
        <w:t xml:space="preserve">31 See in this sense the developments in paragraphs 32 and following of this decision.  </w:t>
        <w:br/>
        <w:t>32 See paragraph 667 of the aforementioned guidelines.</w:t>
      </w:r>
    </w:p>
    <w:p>
      <w:r>
        <w:t xml:space="preserve">74. The competitive analysis of this decision therefore takes into account the various elements mentioned above, in order to assess the position of the parties and their competitors in the markets concerned by the operation. In particular, the investigation focused on studying the credibility of the competitors' offers and the factors likely to restrict or increase their ability to stimulate competition, particularly with regard to the counter-power of customers, foremost among whom is SNCF Réseau, which represents almost all of the demand for railway materials in France33.  </w:t>
        <w:br/>
        <w:t xml:space="preserve">75. Given the positions of the parties in the concerned markets in France, the horizontal (A), vertical (B), and conglomerate (C) effects of the operation have been examined.  </w:t>
        <w:br/>
        <w:t xml:space="preserve">A. ANALYSIS OF HORIZONTAL EFFECTS  </w:t>
        <w:br/>
        <w:t xml:space="preserve">76. The parties are simultaneously present in certain markets for fastening system components and, potentially, in the market for fastening systems.  </w:t>
        <w:br/>
        <w:t xml:space="preserve">77. In this case, Vapérail, a subsidiary of Sateba, produces, among other things, NV inserts (anchoring) that can be used with the Nabla rail fastening from Pandrol and other fastening components. Vossloh, for its part, only produces SKL fastening system components, which are very rarely used in France (less than 1%).  </w:t>
        <w:br/>
        <w:t xml:space="preserve">78. Furthermore, there are many competitors whose products constitute credible alternatives to the components manufactured by the parties, foremost among them being Pandrol, but also Mecelec, Tecmaplast, and Ars Industries.  </w:t>
        <w:br/>
        <w:t xml:space="preserve">79. While the notifying party considers that there are no horizontal effects in the markets for the supply of blades (component of the fastening system) and fastening systems [confidential], the investigation has shown that this subsidiary of Sateba should be considered a new entrant in this market.  </w:t>
        <w:br/>
        <w:t xml:space="preserve">80. [Confidential].  </w:t>
        <w:br/>
        <w:t xml:space="preserve">81. [Confidential].  </w:t>
        <w:br/>
        <w:t xml:space="preserve">82. [Confidential].  </w:t>
        <w:br/>
        <w:t xml:space="preserve">83. However, Vossloh is currently marketing fastening systems.  </w:t>
        <w:br/>
        <w:t xml:space="preserve">84. The investigation was able to rule out any risk of horizontal effects in this market for the following reasons.  </w:t>
        <w:br/>
        <w:t xml:space="preserve">85. First, Pandrol is currently the dominant player in France ([90-100]%) regarding the supply of blades and fastening systems with its Nabla model. Consequently, the arrival of a new player and the strengthening of the only challenger stimulates competition in this market in France.  </w:t>
        <w:br/>
        <w:t xml:space="preserve">86. [Confidential].  </w:t>
        <w:br/>
        <w:t xml:space="preserve">87. For all these reasons, the investigation ruled out any risk of horizontal effect in the markets for the supply of fastening system components and fastening systems.  </w:t>
        <w:br/>
        <w:t>33 Indeed, SNCF Réseau currently represents about 90% of the demand for railway materials, and this demand is characterized, on the one hand, by a procurement process that is essentially component by component and, on the other hand, by a desire to maintain a variety of suppliers for each element.</w:t>
      </w:r>
    </w:p>
    <w:p>
      <w:r>
        <w:rPr>
          <w:b/>
        </w:rPr>
        <w:t>[Pages 19–21]</w:t>
      </w:r>
    </w:p>
    <w:p>
      <w:r>
        <w:t xml:space="preserve">B. ANALYSIS OF VERTICAL EFFECTS  </w:t>
        <w:br/>
        <w:t xml:space="preserve">88. A vertical concentration can restrict competition by making access to the markets in which the new entity will operate more difficult, or even potentially excluding competitors by penalizing them through increased costs or degrading the quality or conditions of access to inputs. This lock-in can target downstream markets when the integrated company refuses to sell or sells an input to its downstream competitors under degraded conditions, or upstream markets when the downstream branch of the integrated company refuses to purchase or buys the products of upstream manufacturers under degraded conditions, thereby reducing their commercial outlets.  </w:t>
        <w:br/>
        <w:t xml:space="preserve">89. The guidelines on the control of concentrations also remind34 that these lock-in scenarios are likely if the new entity has, firstly, the capacity to significantly lock access to inputs or customers, secondly, if the incentives to do so are sufficient, and thirdly, if a lock-in strategy would have a significant effect on the markets concerned, depending on their specific characteristics. These three criteria relating to capacity, incentive, and significant effect are cumulative.  </w:t>
        <w:br/>
        <w:t xml:space="preserve">90. However, decision-making practice generally considers that it is unlikely for a company with a market share of less than 30% in a relevant market to lock a downstream or upstream market35.  </w:t>
        <w:br/>
        <w:t xml:space="preserve">91. The operation results in the creation of several vertical links between the parties concerning the components used for fastening systems (1), the fastening systems used for pre-assembled sleepers (2), and the concrete supports used for complete switch systems (3).  </w:t>
        <w:br/>
        <w:t xml:space="preserve">1. ON THE RISK OF LOCK-IN BETWEEN FASTENING SYSTEMS AND COMPONENTS OF FASTENING SYSTEMS  </w:t>
        <w:br/>
        <w:t xml:space="preserve">92. The diagram presented in point 14 of this decision is reproduced below, isolating the vertical link between the components of the fastening system and the fastening systems.  </w:t>
        <w:br/>
        <w:t xml:space="preserve">34 See paragraph 674 of the aforementioned guidelines.  </w:t>
        <w:br/>
        <w:t>35 See paragraph 678 of the aforementioned guidelines.</w:t>
      </w:r>
    </w:p>
    <w:p>
      <w:r>
        <w:t xml:space="preserve">Figure 2.ter – Diagram of systems, subsystems, and components of a railway track (focus on the vertical link between the components of the fastening system and the fastening systems) – (internal source)  </w:t>
        <w:br/>
        <w:t xml:space="preserve">93. The concentration creates a vertical link between the fastening systems supplied by Vossloh and certain components of the fastening systems manufactured by Vapérail (Sateba). Prior to the operation, however, Vossloh was already integrated at this level of the value chain of railway infrastructure as it produces several components for its fastening systems, particularly rail fastenings.  </w:t>
        <w:br/>
        <w:t xml:space="preserve">94. Regarding the market for the supply of fastening systems, Vossloh has, during the period 2021-2024, market shares of less than 5% in the French market, even though it supplies 100% of the fastening systems to certain customers. Pandrol, on the other hand, has market shares of over 95% during the same period. As analyzed previously, Sateba is currently not a supplier of fastening systems. Therefore, in the absence of market power for the supply of fastening systems, which it could leverage, the new entity will not be able to engage in a strategy to exclude its competitors, component manufacturers.  </w:t>
        <w:br/>
        <w:t xml:space="preserve">95. Regarding the market for the supply of rail fastenings, Vossloh has a market share of less than 10%36. In contrast, Pandrol has a market share of over 90%. Other players have market shares of less than 1%. Sateba is currently not active in the supply of this type of component.  </w:t>
        <w:br/>
        <w:t xml:space="preserve">96. Finally, concerning the other markets for components of fastening systems, Vossloh and Sateba, via Vapérail, respectively produce some of the components used (i) in fastening systems using a Vossloh fastening37 and (ii) in fastening systems using a Pandrol fastening38, but hold contestable positions for each type of component.  </w:t>
        <w:br/>
        <w:t xml:space="preserve">36 Only one end customer is equipped, for a significant portion of its network ([confidential]), with rail fastenings (and the corresponding fastening systems) marketed by Vossloh.  </w:t>
        <w:br/>
        <w:t xml:space="preserve">37 Vossloh produces and markets all the various components other than the blade (stop, rail pads, screw, sheath) of the SKL fastening systems.  </w:t>
        <w:br/>
        <w:t>38 Vapérail thus supplies, in 2024, [confidential] in value of certain types of components of the Nabla fastening systems for Pandrol and is also involved in the supply of certain components of the Fastclip systems (all stops and part of the inserts).</w:t>
      </w:r>
    </w:p>
    <w:p>
      <w:r>
        <w:t xml:space="preserve">97. In these upstream markets for the supply of components of fastening systems, the new entity will face competition from other players, such as Techmaplast or Mecelec.  </w:t>
        <w:br/>
        <w:t xml:space="preserve">98. In any case, it emerges from the investigation that the market leader, Pandrol, has alternatives for its supplies and can also internalize the production of the components used for its fastening systems. Any strategy aimed at degrading the supply of components used by Pandrol for the manufacture of its fastening systems would therefore not be profitable as this player represents over 90% of its outlets and the new entity will not be essential in these markets.  </w:t>
        <w:br/>
        <w:t xml:space="preserve">99. Thus, in the absence of the new entity's capacity to implement a lock-in scenario, it is not necessary to examine in more detail the incentive and effect of such a scenario.  </w:t>
        <w:br/>
        <w:t xml:space="preserve">100. Therefore, any risk of vertical effects between the markets for the supply of fastening systems and the markets for the supply of their components can be ruled out.  </w:t>
        <w:br/>
        <w:t xml:space="preserve">2. ON THE RISK OF LOCK-IN BETWEEN PRE-ASSEMBLED SLEEPERS AND FASTENING SYSTEMS  </w:t>
        <w:br/>
        <w:t>101. The diagram presented in point 14 of this decision is reproduced below, isolating the vertical link between pre-assembled sleepers and fastening systems.</w:t>
      </w:r>
    </w:p>
    <w:p>
      <w:r>
        <w:t xml:space="preserve">Figure 2.quater – Diagram of systems, subsystems, and components of a railway track (focus on the vertical link between fastening systems and pre-assembled sleepers) – (internal source)  </w:t>
        <w:br/>
        <w:t>102. The concentration creates a vertical link between the fastening systems supplied by Vossloh (in blue) and the pre-assembled sleepers manufactured by Sateba (in green).</w:t>
      </w:r>
    </w:p>
    <w:p>
      <w:r>
        <w:rPr>
          <w:b/>
        </w:rPr>
        <w:t>[Pages 22–24]</w:t>
      </w:r>
    </w:p>
    <w:p>
      <w:r>
        <w:t xml:space="preserve">a) Presentation of Risks  </w:t>
        <w:br/>
        <w:t xml:space="preserve">103. Due to the vertical link existing between the upstream market of supplying fastening systems and the downstream market of supplying pre-assembled sleepers, the investigation considered the risk that the new entity might refuse to supply, or supply under degraded conditions, fastening systems to Sateba's competing sleeper manufacturers. This risk is particularly conceivable when sleeper manufacturers are imposed with technical specifications for certain projects, requiring them, for example, to use SKL-type fastening systems produced by Vossloh. However, as demonstrated in paragraphs 94 to 98 above, the new entity will not have market power for the supply of fastening systems: competing sleeper manufacturers have credible alternatives, foremost among them the market leader, Pandrol. Consequently, any risk of foreclosure by inputs can be ruled out, and there is no need to further analyze its potential effects.  </w:t>
        <w:br/>
        <w:t xml:space="preserve">104. The investigation considered the risk that the new entity might refuse to purchase fastening systems from Vossloh's competitors, notably Pandrol. This risk is particularly significant for suppliers of fastening systems given that Sateba's market shares in pre-assembled sleepers are particularly high. Such a locking scenario could theoretically lead to the exclusion of Vossloh's competitors from the fastening systems market (risk of foreclosure by customers).  </w:t>
        <w:br/>
        <w:t xml:space="preserve">b) Ability of the New Entity to Implement a Profitable and Anticompetitive Locking of Markets  </w:t>
        <w:br/>
        <w:t xml:space="preserve">Presentation of the Methodology Used to Recalculate Market Shares  </w:t>
        <w:br/>
        <w:t xml:space="preserve">105. The parties are present in the upstream market for fastening systems, as well as in the downstream market for "pre-assembled sleepers."  </w:t>
        <w:br/>
        <w:t xml:space="preserve">106. To determine market shares in the pre-assembled sleeper market, only those sleepers sold already assembled with fastening systems should be considered. To estimate these market shares, the notifying party relied on the market shares in sleepers from [confidential], the only customers, according to them, during the period considered, to source (directly or through project management) pre-assembled sleepers. The market shares being [90-100] %, during the period considered, with these customers, they were able to deduce that the market share in the pre-assembled sleeper market was [90-100] %.  </w:t>
        <w:br/>
        <w:t>39 The reverse risk, namely the refusal of Sateba to supply sleepers to competing fastening system suppliers to allow them to sell pre-assembled sleepers, does not exist in practice since buyers of pre-assembled sleepers only turn to sleeper manufacturers, and not to fastening system suppliers.</w:t>
      </w:r>
    </w:p>
    <w:p>
      <w:r>
        <w:t xml:space="preserve">Market Shares of the Parties  </w:t>
        <w:br/>
        <w:t xml:space="preserve">107. Sateba is currently the only supplier of pre-assembled sleepers in France. However, other players are present in the sleeper market (without integrated fastening systems), notably Margaritelli.  </w:t>
        <w:br/>
        <w:t xml:space="preserve">108. These market shares are presented in the table below:  </w:t>
        <w:br/>
        <w:t xml:space="preserve">| Market Share | Vossloh | Sateba | Margaritelli | Rail Europe | SDC |  </w:t>
        <w:br/>
        <w:t xml:space="preserve">|--------------|---------|--------|--------------|-------------|-----|  </w:t>
        <w:br/>
        <w:t xml:space="preserve">| Sleepers     | [0-5] % | [70-80] % | [5-10] % | [5-10] % | [5-10] % |  </w:t>
        <w:br/>
        <w:t xml:space="preserve">| Pre-assembled Sleepers | [0-5] % | [90-100] % | [0-5] % | [0-5] % | [0-5] % |  </w:t>
        <w:br/>
        <w:t xml:space="preserve">Table 1: Average market shares, between 2021 and 2024 – sleepers and pre-assembled sleepers.  </w:t>
        <w:br/>
        <w:t xml:space="preserve">109. Despite these strong market shares in the downstream market for supplying pre-assembled sleepers, a customer foreclosure strategy would not be profitable for the new entity.  </w:t>
        <w:br/>
        <w:t xml:space="preserve">110. First, even though Sateba holds significant market shares in pre-assembled sleepers, there are other sleeper manufacturers (notably Margaritelli, B-Rail, Rail Europe Solution, and SDC) capable of supplying customers in the event of Sateba refusing to supply pre-assembled sleepers equipped with competing fastening systems to the SKL system. They could thus counteract a potential refusal by Sateba to source competing fastening systems from Vossloh (particularly Pandrol).  </w:t>
        <w:br/>
        <w:t xml:space="preserve">111. Furthermore, there is strong customer demand for competing systems to SKL, notably Pandrol systems. Given that such demand exists from the end customer, Sateba, as a supplier of pre-assembled sleepers, cannot ignore it and must source from suppliers of competing systems for the vast majority of its projects. The new entity will have no interest in degrading its business relationships with its main supplier of fastening systems, as this would risk failing to meet end customer demands and losing contracts to current or potential competitors.  </w:t>
        <w:br/>
        <w:t xml:space="preserve">112. Thus, in the absence of the new entity's ability to implement a locking scenario, there is no need to examine in more detail the incentive and effect of such a scenario.  </w:t>
        <w:br/>
        <w:t xml:space="preserve">113. Consequently, any risk of vertical effects between the market for supplying pre-assembled sleepers and the market for supplying fastening systems can be ruled out.  </w:t>
        <w:br/>
        <w:t>40 It appears from the investigation that in 2024, the distribution of demand among the different types of fastening systems was as follows: [50-60] % Fastclip FCX (Pandrol), [30-40] % Nabla (Pandrol), [5-10] % SD (Pandrol), and [0-5] % SKL (Vossloh).</w:t>
      </w:r>
    </w:p>
    <w:p>
      <w:r>
        <w:t xml:space="preserve">3. ON THE RISK OF LOCKING BETWEEN COMPLETE SWITCHING SYSTEMS AND CONCRETE SUPPORTS  </w:t>
        <w:br/>
        <w:t xml:space="preserve">114. The diagram presented in point 14 of this decision is reproduced below, isolating the vertical link between switching systems and concrete supports:  </w:t>
        <w:br/>
        <w:t xml:space="preserve">Figure 2.quinquies – Diagram of systems, subsystems, and components of a railway track (focus on the vertical link between complete switching systems and concrete supports) – (internal source)  </w:t>
        <w:br/>
        <w:t xml:space="preserve">115. The risk of customer locking for suppliers of concrete supports will be examined successively (a), followed by the risk of input locking for suppliers of complete switching systems (b).  </w:t>
        <w:br/>
        <w:t xml:space="preserve">a) Analysis of the Risk of Customer Locking  </w:t>
        <w:br/>
        <w:t xml:space="preserve">Presentation of the Risk of Locking  </w:t>
        <w:br/>
        <w:t xml:space="preserve">116. Given the vertical link between concrete supports and complete switching systems, the investigation considered the existence of a risk for the new entity of refusing to source concrete supports from Sateba's competitors or degrading its purchasing conditions.  </w:t>
        <w:br/>
        <w:t xml:space="preserve">117. The notifying party believes that this risk can be ruled out, on the one hand, due to the internal production of SNCF Réseau and RATP regarding complete switching systems, and on the other hand, due to the existence of competitors in the concrete support market who could partner with Vossloh's competitors in the switching systems market to counterbalance the effects of such a strategy. This would result in the locking scenario being ineffective.  </w:t>
        <w:br/>
        <w:t>41 Prior to the operation, Vossloh is a quasi-integrated player in these markets as it already manufactures two of the three inputs necessary for the production of a complete switching system: switching systems and fastening systems. These pre-existing vertical links are therefore not presented in detail in this decision.</w:t>
      </w:r>
    </w:p>
    <w:p>
      <w:r>
        <w:rPr>
          <w:b/>
        </w:rPr>
        <w:t>[Pages 25–27]</w:t>
      </w:r>
    </w:p>
    <w:p>
      <w:r>
        <w:t xml:space="preserve">allow manufacturers of concrete supports to maintain outlets, regardless of the strategy implemented by the new entity.  </w:t>
        <w:br/>
        <w:t xml:space="preserve">118. According to the notifying party, the new entity would have no incentive for such a locking strategy and, in any case, it would not have an impact, given the existence of credible alternatives for concrete support manufacturers, and the willingness of certain actors to maintain, particularly for their internal production, a plurality of sources of supply for concrete supports, thus ensuring concrete support manufacturers a continuation of outlets. This is particularly the case for SNCF Réseau.  </w:t>
        <w:br/>
        <w:t xml:space="preserve">Capacity of the new entity to implement customer locking  </w:t>
        <w:br/>
        <w:t xml:space="preserve">Presentation of the methodology used to calculate market shares  </w:t>
        <w:br/>
        <w:t xml:space="preserve">119. As a preliminary point, it is specified that SNCF Réseau and RATP internally produce part of the complete switch systems used on their respective networks. The notifying party argued that the production of SNCF Réseau should be included in the calculation of market shares, just like the production of complete switch systems intended for commercialization, given (i) the competitive pressure exerted by this internal production on the market (ii) the ability, particularly for SNCF Réseau, to arbitrate between internal or external supply.  </w:t>
        <w:br/>
        <w:t xml:space="preserve">120. Nevertheless, in accordance with a consistent practice of competition authorities, actors producing for internal use are not considered to be active in a market where purchases and sales of a product take place.42 Consequently, neither SNCF nor RATP can be considered as competitors of the parties. Their internal production cannot thus be accounted for in the size of the market examined.  </w:t>
        <w:br/>
        <w:t xml:space="preserve">121. Furthermore, in order to have the best estimates of market dynamics, only complete switch systems using supports were taken into account, excluding (i) switch systems sold without supports (ii) switch systems used on certain networks, such as subways, and not using supports.  </w:t>
        <w:br/>
        <w:t xml:space="preserve">Market shares of the parties  </w:t>
        <w:br/>
        <w:t xml:space="preserve">122. Vossloh holds an average market share over the period 2021-2024, on complete switch systems, of [70-80] %, varying from [90-100] % (in 2024) to [30-40] % (in 2021). Its main competitor, voestalpine, has an average market share of [20-30] % between 2021 and 2024, varying from [0-5] % (in 2024) to [60-70] % (in 2021).  </w:t>
        <w:br/>
        <w:t xml:space="preserve">Market share Market share Market share  </w:t>
        <w:br/>
        <w:t xml:space="preserve">Vossloh Sateba voestalpine  </w:t>
        <w:br/>
        <w:t xml:space="preserve">Value Volume Value Volume Value Volume  </w:t>
        <w:br/>
        <w:t xml:space="preserve">Average [70- [90- [0- [20-  </w:t>
        <w:br/>
        <w:t xml:space="preserve">[0-5] % [5-10] %  </w:t>
        <w:br/>
        <w:t xml:space="preserve">2021-2024 80] % 100] % 5] % 30] %  </w:t>
        <w:br/>
        <w:t xml:space="preserve">Table 2: market shares, in value and volume – complete switch systems  </w:t>
        <w:br/>
        <w:t xml:space="preserve">42 See, in this sense, the judgment of the Court of October 22, 2002, T-310/01 - Schneider Electric / Commission, ECLI:EU:T:2002:254, paragraphs 282 and following.  </w:t>
        <w:br/>
        <w:t xml:space="preserve">123. Regarding concrete supports, Sateba has a market share, across all networks, of [70-80] % in value ([70-80] % in volume) between 2021 and 2024. Its main competitors are B-Rail ([20-30] %) and Rail-One ([0-5] %) for the same period.  </w:t>
        <w:br/>
        <w:t xml:space="preserve">Market share Market share Market share Market share  </w:t>
        <w:br/>
        <w:t xml:space="preserve">Vossloh Sateba Rail One  </w:t>
        <w:br/>
        <w:t xml:space="preserve">Average 2021-  </w:t>
        <w:br/>
        <w:t xml:space="preserve">[0-5] % [70-80] % [20-30] % [0-5] %  </w:t>
        <w:br/>
        <w:t xml:space="preserve">2024  </w:t>
        <w:br/>
        <w:t xml:space="preserve">Table 3: market shares, in value – concrete supports.  </w:t>
        <w:br/>
        <w:t xml:space="preserve">Conclusion on the capacity of the new entity to implement customer locking  </w:t>
        <w:br/>
        <w:t xml:space="preserve">124. Given these significant market shares, the new entity has market power and leverage, giving it the ability to implement a locking strategy.  </w:t>
        <w:br/>
        <w:t xml:space="preserve">Incentives of the new entity to implement customer locking  </w:t>
        <w:br/>
        <w:t xml:space="preserve">125. Vossloh represents an important outlet for concrete support manufacturers, particularly given its strong market shares. This central position of Vossloh in the market for supplying complete switch systems is further reinforced by the demands of end customers and the technical specifications they define. Indeed, when technical specifications are precise, they can steer towards the technology of a particular supplier, notably that of Vossloh for complete switch systems (as seen in paragraph 34, this is the case for Pandrol for fastening systems). For example, regarding switch systems on tram networks, one actor indicates that "customer technical specifications often steer towards Vossloh technology."  </w:t>
        <w:br/>
        <w:t xml:space="preserve">126. Furthermore, even though, to date, Vossloh already sources from Sateba for the vast majority of concrete supports in the context of supplying complete switch systems, this is a contractual situation between two independent actors and is therefore contestable over time and its scope. Following the operation, this situation would be structural and lasting.  </w:t>
        <w:br/>
        <w:t xml:space="preserve">127. Nevertheless, the investigation highlighted the existence of credible alternatives that allow competing concrete support manufacturers to meet market needs. Thus, actors like voestalpine position themselves on the same projects as Vossloh and must, in any case, benefit from a certain volume of supports. For example, competitors of the new entity, such as voestalpine, have already been able to diversify their supply of concrete supports with a supplier other than Sateba (the company Rail One) a few years ago.  </w:t>
        <w:br/>
        <w:t xml:space="preserve">128. In any case, this locking scenario seems unlikely and would, in any case, not have a significant impact on the market.  </w:t>
        <w:br/>
        <w:t xml:space="preserve">Conclusion  </w:t>
        <w:br/>
        <w:t xml:space="preserve">129. To the extent that the new entity is not incentivized to propose such locking scenarios, the Authority believes that any locking by customers can be ruled out.  </w:t>
        <w:br/>
        <w:t xml:space="preserve">b) Analysis of input locking risks  </w:t>
        <w:br/>
        <w:t xml:space="preserve">Presentation of the risk of input locking  </w:t>
        <w:br/>
        <w:t xml:space="preserve">130. The new entity could refuse to supply, or supply under degraded conditions, concrete supports that constitute an essential input for the supply of complete switch systems, to Vossloh's competitors.  </w:t>
        <w:br/>
        <w:t xml:space="preserve">131. It could, for example, decide to favor its activities in the downstream market for supplying complete switch systems, by increasing the price of concrete supports sold to its competitors, degrading the quality of products or commercial conditions, or even reducing the volumes sold to them.  </w:t>
        <w:br/>
        <w:t xml:space="preserve">132. According to the parties, this locking scenario is not credible, given (i) the presence of alternatives, (ii) the competitive pressure exerted by other actors supplying complete switch systems, and (iii) the absence of impact on the market of such a strategy.  </w:t>
        <w:br/>
        <w:t xml:space="preserve">133. The capacity, incentive, and effects of such a locking strategy regarding access to concrete supports will thus be examined successively.  </w:t>
        <w:br/>
        <w:t xml:space="preserve">Capacity of the new entity to implement input locking  </w:t>
        <w:br/>
        <w:t xml:space="preserve">134. The new entity will be able to supply nearly [90-100] % of complete switch systems as evidenced by the market shares presented in paragraphs 122 and following of this decision.  </w:t>
        <w:br/>
        <w:t xml:space="preserve">135. The holding of this market power in the market for supplying complete switch systems is confirmed by the fact that the new entity will only face one competitor, voestalpine, which holds, depending on the year, a market share significantly lower than that of Vossloh.  </w:t>
        <w:br/>
        <w:t xml:space="preserve">136. Regarding the supply of concrete supports, it emerges from the investigation that Sateba also holds significant market shares presented in paragraph 123 of this decision.  </w:t>
        <w:br/>
        <w:t xml:space="preserve">137. The investigation showed, contrary to what was claimed by the parties, that the marginal supply of supports by other actors was mainly linked to the predominant position of Vossloh in the market for complete switch systems and that competing suppliers resort to Sateba's supports. Thus, one of Vossloh's main competitors indicated sourcing "up to [80-100 %] from Sateba for the concrete supports of its switch systems intended for the French market."  </w:t>
        <w:br/>
        <w:t xml:space="preserve">138. Furthermore, the notifying party argues that the new entity would not have the capacity to implement such a locking strategy through concrete supports, given the existence of alternatives to Sateba, whether suppliers with a factory in France (B-Rail), or cross-border (for example Margaritelli, Rail Europe Solution, Vigier Rail, or Rail One).  </w:t>
        <w:br/>
        <w:t>139. Nevertheless, it emerges from the investigation that to date, the barriers to entry in the French market are significant due to the specificities of the French complete switch systems (and thus the supports used in the manufacture of its systems). A competitor indicated, for example, that these specificities prevented it from developing a production of supports suitable for the French market. There is currently no pressure.</w:t>
      </w:r>
    </w:p>
    <w:p>
      <w:r>
        <w:rPr>
          <w:b/>
        </w:rPr>
        <w:t>[Pages 28–30]</w:t>
      </w:r>
    </w:p>
    <w:p>
      <w:r>
        <w:t xml:space="preserve">système de fixation, (ii) de la structure du marché français, et (iii) de la présence d'autres acteurs sur le marché des supports en béton.  </w:t>
        <w:br/>
        <w:t xml:space="preserve">163. En conséquence, bien que des effets congloméraux puissent être envisagés, les éléments recueillis lors de l'instruction ne permettent pas de conclure à l'existence d'un risque significatif de verrouillage de l'accès aux marchés concernés.  </w:t>
        <w:br/>
        <w:t xml:space="preserve">164. En résumé, l'analyse des effets congloméraux ne révèle pas de préoccupations suffisantes pour justifier une intervention sur la concentration envisagée.  </w:t>
        <w:br/>
        <w:t xml:space="preserve">D. CONCLUSION GÉNÉRALE  </w:t>
        <w:br/>
        <w:t xml:space="preserve">165. Au regard de l'ensemble des éléments examinés, l'instruction a permis de conclure que la concentration envisagée ne soulève pas de préoccupations concurrentielles significatives sur le marché de la fourniture de systèmes d'aiguillage complets ni sur le marché des supports en béton.  </w:t>
        <w:br/>
        <w:t>166. Par conséquent, la concentration peut être autorisée sans conditions.</w:t>
      </w:r>
    </w:p>
    <w:p>
      <w:r>
        <w:rPr>
          <w:b/>
        </w:rPr>
        <w:t>[Pages 31–33]</w:t>
      </w:r>
    </w:p>
    <w:p>
      <w:r>
        <w:t xml:space="preserve">identified in Germany in 2005 are not found in the present concentration, notably due to the differences (i) in Vossloh's much smaller market shares in the fastening systems used in France and (ii) in the types of supply by French customers, foremost among them SNCF Réseau47.  </w:t>
        <w:br/>
        <w:t xml:space="preserve">163. Furthermore, the purchasing methods, through separate tenders between the components, do not allow, in practice, for bundled offers, both technically and commercially.  </w:t>
        <w:br/>
        <w:t xml:space="preserve">164. In any case, the notifying party has submitted commitments aimed at remedying any potential conglomerate effect that would rely on the position of the new entity in the market for the supply of complete switch systems.  </w:t>
        <w:br/>
        <w:t xml:space="preserve">IV. Commitments  </w:t>
        <w:br/>
        <w:t xml:space="preserve">165. The notifying party submitted on July 31, 2025, a proposal for commitments of a behavioral nature, aimed at addressing the risks of vertical effects resulting from the operation in the market for the supply of complete switch systems. This proposal was subject to a market test, sent on August 5, 2025, to gather feedback from third parties. A final version of these commitments was submitted on September 5, 2025. It is an integral part of this decision to which it is annexed.  </w:t>
        <w:br/>
        <w:t xml:space="preserve">166. It is this final version of the commitments that is presented and analyzed below.  </w:t>
        <w:br/>
        <w:t xml:space="preserve">A. THE PROPOSED COMMITMENTS  </w:t>
        <w:br/>
        <w:t xml:space="preserve">167. Subscribed for a duration of five years, renewable once, the commitment consists of the supply of concrete supports, under fair, reasonable, and non-discriminatory commercial, pricing, and non-pricing conditions, to companies that manufacture and market complete switch systems or that intend to make a commercial offer of such complete switch systems to third parties.  </w:t>
        <w:br/>
        <w:t xml:space="preserve">168. Sateba must therefore apply the same pricing and billing terms to Vossloh and to third-party manufacturers, including regarding transportation costs and any price reductions.  </w:t>
        <w:br/>
        <w:t xml:space="preserve">169. Furthermore, Sateba must not change the current pricing and billing terms in favor of Vossloh. Any changes to the current pricing and billing terms must be communicated to an independent representative who must ensure, in relation to the Authority, that it does not favor Vossloh.  </w:t>
        <w:br/>
        <w:t xml:space="preserve">170. This independent representative, approved by the Competition Authority, is responsible for monitoring these commitments.  </w:t>
        <w:br/>
        <w:t xml:space="preserve">B. ASSESSMENT OF THE PROPOSED COMMITMENTS  </w:t>
        <w:br/>
        <w:t xml:space="preserve">171. The Authority's assessment of the commitments proposed by a notifying party is framed within a global context taking into account several cumulative criteria48. The proposed commitments must be necessary and effective, in that they effectively remedy the identified competition infringements. They must also be proportionate, imposing on companies a burden strictly necessary to maintain the level of competition existing in a market prior to the operation. Moreover, their implementation must not raise doubts and must be swift. Finally, they must be controllable, meaning that they must provide for a control mechanism, allowing the Authority to ensure that they are indeed carried out.  </w:t>
        <w:br/>
        <w:t xml:space="preserve">172. The Authority primarily seeks structural measures to remedy the risks of competition infringement. However, to the extent that a behavioral remedy appears more appropriate to prevent the risks of competition infringements resulting from the operation, such a remedy should be defined, ensuring its effectiveness and controllability.  </w:t>
        <w:br/>
        <w:t xml:space="preserve">1. ON THE NATURE OF THE COMMITMENT  </w:t>
        <w:br/>
        <w:t xml:space="preserve">173. In this case, the proposed commitment is of a behavioral nature. It indeed appears more appropriate than a structural commitment to prevent the identified vertical risk. Indeed, as specified in point 405 of the aforementioned guidelines, “[b]ehavioral corrective measures generally aim to preserve or promote the access of current or potential competitors to the market. This access is generally threatened by risks of market lock-in upstream or downstream, directly linked to the vertical effects of the operation.” Such a commitment is also consistent with the decision-making practice of the Competition Authority: when the identified competitive risks concern vertical effects, the accepted commitments are, in the vast majority of cases, behavioral commitments49.  </w:t>
        <w:br/>
        <w:t xml:space="preserve">174. In this regard, the near-unanimity of respondents to the market test50 indicated that the proposed commitment, in its form and purpose, is capable of addressing the identified competition risk.  </w:t>
        <w:br/>
        <w:t xml:space="preserve">2. ON ITS ADEQUACY  </w:t>
        <w:br/>
        <w:t xml:space="preserve">175. In principle, such a commitment is adequate in that it prevents any lock-in of access to concrete supports for the competitors of the new entity in the market for the supply of complete switch systems, thereby allowing sufficient competition to be maintained in this market.  </w:t>
        <w:br/>
        <w:t xml:space="preserve">a) On the scope of the commitment  </w:t>
        <w:br/>
        <w:t xml:space="preserve">176. The scope of the commitment, which defines third-party manufacturers as “any industrial entity that either manufactures and markets to third parties complete switch systems […], or intends to make a commercial offer of such complete switch systems […]”51, de facto excludes actors manufacturing complete switch systems for their own account, such as SNCF Réseau or RATP.  </w:t>
        <w:br/>
        <w:t xml:space="preserve">177. Indeed, the investigation has ruled out SNCF Réseau and RATP as competitors of the parties in the manufacturing of complete switch systems. However, to the extent that a behavioral commitment aims to “preserve or promote the access of current or potential competitors to the market”52, it is also appropriate to exclude these actors from the scope of the commitment.  </w:t>
        <w:br/>
        <w:t xml:space="preserve">178. Thus, the commitment will only concern actors such as voestalpine who, like Vossloh before the operation, manufacture and supply to third parties (for example, track layers, SNCF Réseau, or RATP) complete switch systems.  </w:t>
        <w:br/>
        <w:t xml:space="preserve">b) On the non-discriminatory nature of the commitment  </w:t>
        <w:br/>
        <w:t xml:space="preserve">179. The commitment also provides that the new entity will supply concrete supports under “fair, reasonable, and non-discriminatory” commercial conditions.  </w:t>
        <w:br/>
        <w:t xml:space="preserve">180. This clarification addresses the concerns expressed regarding the supply of concrete supports.  </w:t>
        <w:br/>
        <w:t xml:space="preserve">181. On the one hand, the active players in the market are guaranteed, with this commitment, the security of their sourcing as Sateba, an independent player prior to the operation, had no interest in favoring Vossloh. Furthermore, the current alternatives to the supply of concrete supports are insufficient to meet demand needs and justify that the new entity, which is currently the only one able to provide significant volumes, continues, during the commitment period, to supply all actors.  </w:t>
        <w:br/>
        <w:t xml:space="preserve">182. On the other hand, these commercial conditions are necessary to the extent that the barriers to entry are high in this concrete supports market, preventing suppliers of complete switch systems from having short-term alternatives to Sateba. The commitment must therefore allow actors who are not yet active in the market to enter it or allow actors who are already active to develop within it.  </w:t>
        <w:br/>
        <w:t xml:space="preserve">c) On the notice period in case of discontinuation of references  </w:t>
        <w:br/>
        <w:t xml:space="preserve">183. In the event of discontinuation of a reference, the notice period incumbent on the new entity will be three years. This period, which is longer than the usual notice periods, is justified, among other things, by the time required for tendering, by the approval procedures, but also by the constraints of study, manufacturing, and obtaining financing that govern this sector. It is thus necessary that the clients of the new entity are informed of a potential discontinuation of reference sufficiently in advance, it being specified that in any case, this  </w:t>
        <w:br/>
        <w:t xml:space="preserve">51 The second situation corresponding to the hypothesis whereby a player wishes to participate in a tender for a complete switch system.  </w:t>
        <w:br/>
        <w:t>52 See, in this sense, paragraph 405 of the aforementioned guidelines.</w:t>
      </w:r>
    </w:p>
    <w:p>
      <w:r>
        <w:rPr>
          <w:b/>
        </w:rPr>
        <w:t>[Pages 34–35]</w:t>
      </w:r>
    </w:p>
    <w:p>
      <w:r>
        <w:t xml:space="preserve">notice will be given "in compliance with the contractual obligations" incumbent upon the parties.  </w:t>
        <w:br/>
        <w:t xml:space="preserve">d) On the Duration of the Commitment  </w:t>
        <w:br/>
        <w:t xml:space="preserve">184. The duration of the commitment is five years, renewable once. Despite the barriers to entry outlined in paragraphs 139 and following of this decision, the investigation indicates that this commitment will maintain short-term competitive pressure on the new entity and, in the medium term, encourage sector actors to engage in counter-strategies with lasting effects. Indeed, it should allow, at the end of the commitment execution period, suppliers of complete switching systems to diversify their sources of supply (for example, by entering into contracts with other suppliers of concrete supports)53 and/or to vertically integrate through internal or external growth.  </w:t>
        <w:br/>
        <w:t xml:space="preserve">185. Actors such as voestalpine, offering complete switching systems during and after the execution of the commitment, will thus be able to maintain a varied supply of concrete supports and stimulate competition in the market for the supply of complete switching systems.  </w:t>
        <w:br/>
        <w:t xml:space="preserve">186. Furthermore, the expansion of an actor already present in the concrete sleeper market into the concrete support market could occur within the timeframe of the commitment and at limited costs. Indeed, the notifying party indicates that "[f]urthermore, the production of supports is relatively low capital intensive and fixed costs are low, as the factories are not very expensive," and estimates that "the investments necessary to construct a new sleeper factory would be in the range of [5-10] million euros. The additional investments required to extend the factory for the production of supports amount to [1-5] million euros." Finally, it also specifies that "[i]n practice, extending a concrete sleeper factory for the manufacture of concrete supports takes no more than a year."  </w:t>
        <w:br/>
        <w:t xml:space="preserve">187. Thus, this period is deemed sufficient to allow competing actors of Sateba to enter or expand their activities in the French market for the supply of concrete supports.  </w:t>
        <w:br/>
        <w:t xml:space="preserve">e) Conclusion  </w:t>
        <w:br/>
        <w:t xml:space="preserve">188. Therefore, the Authority considers that the commitment proposed by the notifying party is capable of addressing the competitive concerns arising from the operation.  </w:t>
        <w:br/>
        <w:t>53 Manufacturers of concrete supports may also be encouraged to develop their presence in France to meet a demand shift.</w:t>
      </w:r>
    </w:p>
    <w:p>
      <w:r>
        <w:t xml:space="preserve">DECIDES  </w:t>
        <w:br/>
        <w:t xml:space="preserve">Single Article: The operation notified under number 24-233 is authorized subject to the commitments described in paragraphs 165 to 188 above and annexed to this decision.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