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https://www.autoritedelaconcurrence.fr/fr/decision-de-controle-des-concentrations/relative-la-prise-de-controle-exclusif-du-groupe-sateco-par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19-DCC-145 of July 24, 2019  </w:t>
        <w:br/>
        <w:t xml:space="preserve">regarding the exclusive control acquisition of the Sateco group by the company  </w:t>
        <w:br/>
        <w:t xml:space="preserve">Equistone Partners Europe SAS  </w:t>
        <w:br/>
        <w:t xml:space="preserve">The Competition Authority,  </w:t>
        <w:br/>
        <w:t xml:space="preserve">Having regard to the complete notification file submitted to the mergers department on June 19, 2019,  </w:t>
        <w:br/>
        <w:t xml:space="preserve">concerning the exclusive control acquisition by the company Equistone Partners Europe SAS of the company  </w:t>
        <w:br/>
        <w:t xml:space="preserve">Sateco Avenir, materialized by a firm offer letter of transfer dated June 12,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Equistone Partners  </w:t>
        <w:br/>
        <w:t xml:space="preserve">Europe SAS, of the company Sateco Avenir and its subsidiaries, which are active in the  </w:t>
        <w:br/>
        <w:t xml:space="preserve">concrete formwork and safety equipment sectors, in the rental of construction machinery, in the sale of  </w:t>
        <w:br/>
        <w:t xml:space="preserve">refurbished used construction equipment, in training for the use of construction machinery as well as in  </w:t>
        <w:br/>
        <w:t xml:space="preserve">micro-welding. This operation constitutes a concentration operation within the meaning of Article L. 430-1 of  </w:t>
        <w:br/>
        <w:t xml:space="preserve">the Commercial Code. Given the turnover achieved by the companies concerned, the operation does not fall  </w:t>
        <w:br/>
        <w:t xml:space="preserve">within the competence of the European Union. On the other hand, the control thresholds mentioned in point I  </w:t>
        <w:br/>
        <w:t xml:space="preserve">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19-155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