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https://www.autoritedelaconcurrence.fr/fr/decision-de-controle-des-concentrations/relative-la-prise-de-controle-exclusif-du-groupe-saverglass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16-DCC-06 of January 25, 2016  </w:t>
        <w:br/>
        <w:t xml:space="preserve">regarding the exclusive control acquisition of the Saverglass group by The  </w:t>
        <w:br/>
        <w:t xml:space="preserve">Carlyle Group  </w:t>
        <w:br/>
        <w:t xml:space="preserve">The Competition Authority,  </w:t>
        <w:br/>
        <w:t xml:space="preserve">Having regard to the complete notification file submitted to the mergers department on December 30,  </w:t>
        <w:br/>
        <w:t xml:space="preserve">2015, concerning the exclusive control acquisition of the Saverglass group by The Carlyle Group,  </w:t>
        <w:br/>
        <w:t xml:space="preserve">materialized by a purchase promise dated December 16, 2015;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Saverglass group, active in  </w:t>
        <w:br/>
        <w:t xml:space="preserve">the glass packaging sector, by The Carlyle Group, active through several funds in various sectors of activity. This operation constitutes a concentration operation within the meaning of Article L. 430-1 of the Commercial Code. Given the turnover achieved by the companies concerned, the operation does not fall under the jurisdiction of the European Union. However, the control thresholds mentioned in point I of Article L. 430-2 of the Commercial Code are exceeded. The present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15-249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