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25-DCC-195 of August 20, 2025  </w:t>
        <w:br/>
        <w:t xml:space="preserve">regarding the exclusive control acquisition of the SD Services group  </w:t>
        <w:br/>
        <w:t xml:space="preserve">by the Charles André group  </w:t>
        <w:br/>
        <w:t xml:space="preserve">The Competition Authority,  </w:t>
        <w:br/>
        <w:t xml:space="preserve">Having regard to the complete notification file submitted to the mergers department on August 1, 2025,  </w:t>
        <w:br/>
        <w:t xml:space="preserve">concerning the exclusive control acquisition of the SD Services group by the Charles André group,  </w:t>
        <w:br/>
        <w:t xml:space="preserve">formalized by an indicative offer letter dated April 23,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acquisition of exclusive control by the Charles André group  </w:t>
        <w:br/>
        <w:t xml:space="preserve">of three commercial companies and seven real estate civil companies owning the operating sites  </w:t>
        <w:br/>
        <w:t xml:space="preserve">of the SD Services company, which together form the SD Services group. The  </w:t>
        <w:br/>
        <w:t xml:space="preserve">concerned companies are both primarily active in the sector of light utility vehicle conversion services. The operation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25-182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