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https://www.autoritedelaconcurrence.fr/fr/decision-de-controle-des-concentrations/relative-la-prise-de-controle-exclusif-du-groupe-sepur-par</w:t>
      </w:r>
    </w:p>
    <w:p>
      <w:r>
        <w:t>Pages translated : 2</w:t>
      </w:r>
    </w:p>
    <w:p/>
    <w:p>
      <w:r>
        <w:rPr>
          <w:b/>
        </w:rPr>
        <w:t>[Pages 1–2]</w:t>
      </w:r>
    </w:p>
    <w:p>
      <w:r>
        <w:t xml:space="preserve">FRENCH REPUBLIC  </w:t>
        <w:br/>
        <w:t xml:space="preserve">Decision No. 22-DCC-29 of March 8, 2022  </w:t>
        <w:br/>
        <w:t xml:space="preserve">regarding the exclusive control acquisition of the Sepur group by the company  </w:t>
        <w:br/>
        <w:t xml:space="preserve">Cube III Environnement SARL  </w:t>
        <w:br/>
        <w:t xml:space="preserve">The Competition Authority,  </w:t>
        <w:br/>
        <w:t xml:space="preserve">Having regard to the complete notification file sent to the mergers department on February 21, 2022,  </w:t>
        <w:br/>
        <w:t xml:space="preserve">concerning the exclusive control acquisition of the Sepur group by the company  </w:t>
        <w:br/>
        <w:t xml:space="preserve">Cube III Environnement SARL, formalized by the transfer agreement dated February 1, 2022;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companies Sepur Management and  </w:t>
        <w:br/>
        <w:t xml:space="preserve">Sepur Groupe, the parent company of the Sepur group which is active in the sector of waste collection,  </w:t>
        <w:br/>
        <w:t xml:space="preserve">treatment, and trading as well as industrial and urban cleaning, by the investment fund Cube Infrastructure Fund III managed and controlled by the company Cube Infrastructure Managers, through its subsidiary Cube III Environnement SARL.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22-022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