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https://www.autoritedelaconcurrence.fr/fr/decision-de-controle-des-concentrations/relative-la-prise-de-controle-exclusif-du-groupe-serma-0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22-DCC-113 of July 1, 2022  </w:t>
        <w:br/>
        <w:t xml:space="preserve">regarding the exclusive control of the Serma group by the company  </w:t>
        <w:br/>
        <w:t xml:space="preserve">Ardian France  </w:t>
        <w:br/>
        <w:t>The Competition Authority,</w:t>
      </w:r>
    </w:p>
    <w:p>
      <w:r>
        <w:t xml:space="preserve">Having regard to the notification file submitted in full to the mergers department on June 16, 2022,  </w:t>
        <w:br/>
        <w:t xml:space="preserve">concerning the exclusive control of the Serma group by the company Ardian France, formalized  </w:t>
        <w:br/>
        <w:t>by a letter of intent dated February 15, 2022;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Having regard to the additional elements provided by the notifying party during the investigation;</w:t>
      </w:r>
    </w:p>
    <w:p>
      <w:r>
        <w:t xml:space="preserve">Adopts the following decision:  </w:t>
        <w:br/>
        <w:t xml:space="preserve">1. The notified transaction consists of the exclusive control by the company Ardian France of the  </w:t>
        <w:br/>
        <w:t xml:space="preserve">company Financière Watt, the holding company of the Serma group, active in the engineering services sector. It constitutes a concentration operation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notified operation under number 22-123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