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https://www.autoritedelaconcurrence.fr/fr/decision-de-controle-des-concentrations/relative-la-prise-de-controle-exclusif-du-groupe-severini</w:t>
      </w:r>
    </w:p>
    <w:p>
      <w:r>
        <w:t>Pages translated : 2</w:t>
      </w:r>
    </w:p>
    <w:p/>
    <w:p>
      <w:r>
        <w:rPr>
          <w:b/>
        </w:rPr>
        <w:t>[Pages 1–2]</w:t>
      </w:r>
    </w:p>
    <w:p>
      <w:r>
        <w:t xml:space="preserve">FRENCH REPUBLIC  </w:t>
        <w:br/>
        <w:t xml:space="preserve">Decision No. 18-DCC-201 of December 4, 2018  </w:t>
        <w:br/>
        <w:t xml:space="preserve">regarding the exclusive control acquisition of the Severini group by Altarea Cogedim  </w:t>
        <w:br/>
        <w:t xml:space="preserve">The Competition Authority,  </w:t>
        <w:br/>
        <w:t xml:space="preserve">Having regard to the complete notification file submitted to the mergers department on November 13, 2018, concerning the exclusive control acquisition of the Severini group by Altarea Cogedim, formalized by the firm offer letter dated October 12,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Severini group by Altarea Cogedim. It constitutes a concentration within the meaning of Article L. 430-1 of the Commercial Code. Considering the turnover of the parties involved,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real estate services,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18-245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