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https://www.autoritedelaconcurrence.fr/fr/decision-de-controle-des-concentrations/relative-la-prise-de-controle-exclusif-du-groupe-sevetys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22-DCC-122 of July 20, 2022  </w:t>
        <w:br/>
        <w:t xml:space="preserve">regarding the exclusive control acquisition of the Sevetys group by the company  </w:t>
        <w:br/>
        <w:t xml:space="preserve">Eurazeo  </w:t>
        <w:br/>
        <w:t xml:space="preserve">The Competition Authority,  </w:t>
        <w:br/>
        <w:t xml:space="preserve">Having regard to the complete notification file sent to the mergers department on July 1, 2022,  </w:t>
        <w:br/>
        <w:t xml:space="preserve">concerning the acquisition of control of the company Vet Dev, the parent company of the Sevetys group, by the  </w:t>
        <w:br/>
        <w:t xml:space="preserve">company Eurazeo, formalized by an agreement dated June 19,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Eurazeo of the company  </w:t>
        <w:br/>
        <w:t xml:space="preserve">Vet Dev, which is active in the sector of veterinary clinics and the distribution of pet food. It constitutes a concentration operation within the meaning of Article L. 430-1 of the Commercial Code. Given the turnover achieved by the companies concerned, the operation does not fall under the jurisdiction of the European Union. However, the control thresholds mentioned in I of Article L. 430-2 of the Commercial Code are exceeded. The present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22-150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