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https://www.autoritedelaconcurrence.fr/fr/decision-de-controle-des-concentrations/relative-la-prise-de-controle-exclusif-du-groupe-siaci-par</w:t>
      </w:r>
    </w:p>
    <w:p>
      <w:r>
        <w:t>Pages translated : 2</w:t>
      </w:r>
    </w:p>
    <w:p/>
    <w:p>
      <w:r>
        <w:rPr>
          <w:b/>
        </w:rPr>
        <w:t>[Pages 1–2]</w:t>
      </w:r>
    </w:p>
    <w:p>
      <w:r>
        <w:t xml:space="preserve">FRENCH REPUBLIC  </w:t>
        <w:br/>
        <w:t xml:space="preserve">Decision No. 15-DCC-40 of April 2, 2015  </w:t>
        <w:br/>
        <w:t xml:space="preserve">regarding the exclusive control of the Siaci group by the company  </w:t>
        <w:br/>
        <w:t xml:space="preserve">Ardian  </w:t>
        <w:br/>
        <w:t xml:space="preserve">The Competition Authority,  </w:t>
        <w:br/>
        <w:t xml:space="preserve">Having regard to the complete notification file sent to the mergers department on March 9, 2015,  </w:t>
        <w:br/>
        <w:t xml:space="preserve">concerning the exclusive control of the Siaci group by the company Ardian, and materialized by  </w:t>
        <w:br/>
        <w:t xml:space="preserve">an acquisition contract dated March 9,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of the company Milestone, the holding  </w:t>
        <w:br/>
        <w:t xml:space="preserve">company of the Siaci group, by the company Sisaho International SAS, exclusively controlled by  </w:t>
        <w:br/>
        <w:t xml:space="preserve">Ardian France, a private equity company. It constitutes a concentration operation within the meaning of Article L. 430-1 of the Commercial Code. Given the turnover achieved by the concerned companies, the operation does not fall under the jurisdiction of the European Union. However, the control thresholds relating to concentration operations mentioned in point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15-035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