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https://www.autoritedelaconcurrence.fr/fr/decision-de-controle-des-concentrations/relative-la-prise-de-controle-exclusif-du-groupe-sicame-par</w:t>
      </w:r>
    </w:p>
    <w:p>
      <w:r>
        <w:t>Pages translated : 2</w:t>
      </w:r>
    </w:p>
    <w:p/>
    <w:p>
      <w:r>
        <w:rPr>
          <w:b/>
        </w:rPr>
        <w:t>[Pages 1–2]</w:t>
      </w:r>
    </w:p>
    <w:p>
      <w:r>
        <w:t xml:space="preserve">FRENCH REPUBLIC  </w:t>
        <w:br/>
        <w:t xml:space="preserve">Decision No. 16-DCC-25 of February 11, 2016  </w:t>
        <w:br/>
        <w:t xml:space="preserve">regarding the exclusive control acquisition of the Sicame group by the company  </w:t>
        <w:br/>
        <w:t xml:space="preserve">Equistone Partners Europe SAS  </w:t>
        <w:br/>
        <w:t xml:space="preserve">The Competition Authority,  </w:t>
        <w:br/>
        <w:t xml:space="preserve">Having regard to the complete notification file submitted to the mergers department on January 14, 2016,  </w:t>
        <w:br/>
        <w:t xml:space="preserve">concerning the exclusive control acquisition of the Sicame group by the company Equistone Partners  </w:t>
        <w:br/>
        <w:t xml:space="preserve">Europe SAS, formalized by a transfer agreement dated December 16,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Sicame group,  </w:t>
        <w:br/>
        <w:t xml:space="preserve">primarily active in the sector of design, production, and marketing of equipment for energy transport, by the investment fund management company  </w:t>
        <w:br/>
        <w:t xml:space="preserve">Equistone Partners Europe SAS. This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16-010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