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https://www.autoritedelaconcurrence.fr/fr/decision-de-controle-des-concentrations/relative-la-prise-de-controle-exclusif-du-groupe-sogal-par</w:t>
      </w:r>
    </w:p>
    <w:p>
      <w:r>
        <w:t>Pages translated : 3</w:t>
      </w:r>
    </w:p>
    <w:p/>
    <w:p>
      <w:r>
        <w:rPr>
          <w:b/>
        </w:rPr>
        <w:t>[Pages 1–3]</w:t>
      </w:r>
    </w:p>
    <w:p>
      <w:r>
        <w:t xml:space="preserve">FRENCH REPUBLIC  </w:t>
        <w:br/>
        <w:t xml:space="preserve">Decision No. 10-DCC-142 of October 19, 2010  </w:t>
        <w:br/>
        <w:t xml:space="preserve">regarding the exclusive control of the Sogal group by the company  </w:t>
        <w:br/>
        <w:t xml:space="preserve">Qualium Investissement  </w:t>
        <w:br/>
        <w:t xml:space="preserve">The Competition Authority,  </w:t>
        <w:br/>
        <w:t xml:space="preserve">Having regard to the notification file submitted in full to the concentrations service on October 1, 2010, regarding the exclusive control of the Sogal group by the company Qualium Investissement, formalized by an acquisition and contribution agreement dated September 29, 2010;  </w:t>
        <w:br/>
        <w:t xml:space="preserve">Having regard to Book IV of the Commercial Code relating to price freedom and competition, and in particular its Articles L. 430-1 to L. 430-7;  </w:t>
        <w:br/>
        <w:t xml:space="preserve">Adopts the following decision:  </w:t>
        <w:br/>
        <w:t xml:space="preserve">I. The concerned companies and the operation  </w:t>
        <w:br/>
        <w:t xml:space="preserve">1. Qualium Investissement (hereinafter "Qualium") is a portfolio management company, holding an authorization from the Financial Markets Authority, dedicated to leveraged buyouts and development capital operations through risk mutual funds. It is 100% owned by the Caisse des Dépôts et Consignations (hereinafter "CDC").  </w:t>
        <w:br/>
        <w:t xml:space="preserve">2. The CDC is a public institution, governed by Articles L. 518-2 and following of the Monetary and Financial Code, which fulfills missions of general interest in support of public policies conducted by the State and local authorities (deposits in savings accounts that finance social rental housing and urban renewal, regulated deposits and consignments, pensions, and social security cash flow) and which carries out activities open to competition. These are grouped around four poles: (i) personal insurance through CNP Assurances, (ii) real estate directly and through Icade and the Société Nationale Immobilière, (iii) services, through Transdev (public transport), Egis* (infrastructure engineering), Compagnie des Alpes (operation of ski resorts and leisure sites), and Belambra (operation of tourist residences of eight hotels), (iv) the development of SMEs and venture capital through CDC Entreprises, the Strategic Investment Fund (hereinafter "FSI"), and Qualium Investissement.  </w:t>
        <w:br/>
        <w:t xml:space="preserve">3. The S.A.S Établissements Sogal (hereinafter "the company Établissements Sogal"), the holding company of the Sogal group (hereinafter "the Sogal group"), designs, manufactures, and markets closet doors, and to a lesser extent, room dividers, wardrobes, and blinds as well as custom-made bookshelves. These products are intended solely for private individuals and are marketed by the Sogal group under various brands, such as Sogal, Kendoors, Iliko, Keïko, and Ykario, primarily to retail resellers, either distributors of materials and equipment for the home, or DIY superstores, and occasionally to real estate developers for construction sites.  </w:t>
        <w:br/>
        <w:t xml:space="preserve">4. The contemplated operation consists of the acquisition of the company Établissements Sogal by the risk mutual funds ("FCPR") Qualium 1 and Investissement Long Terme FCPR, managed and represented by Qualium, through a buyout company "Newco," named Univers 23, according to the mechanism of the Leverage Buy-Out ("LBO"). Following the operation, Qualium will hold 69.6% of the capital of the company Univers 23. The supervisory committee of Univers 23 will be composed of a majority of members designated by Qualium. Strategic decisions regarding the commercial policy of the Sogal group, including in particular the approval or modification of the annual budget, must be approved by the members of the supervisory board by a simple majority. The minority co-investors who will hold a cumulative stake of 30.1% in the capital of Univers 23 will not have veto rights over the strategic decisions of the Sogal group.  </w:t>
        <w:br/>
        <w:t xml:space="preserve">5. It follows from the above that the contemplated operation results in the exclusive control of the Sogal group by Qualium, and constitutes a concentration within the meaning of Article L. 430-1 of the Commercial Code.  </w:t>
        <w:br/>
        <w:t xml:space="preserve">6. The concerned companies together achieved a consolidated turnover excluding taxes worldwide of more than 150 million euros in 2009 (the CDC: […] billion euros; the Sogal group: […] million euros). Each of these companies generates, in France, a turnover exceeding 50 million euros (the CDC: […] billion euros; the Sogal group: […]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 Corrected material error.  </w:t>
        <w:br/>
        <w:t>2</w:t>
      </w:r>
    </w:p>
    <w:p>
      <w:r>
        <w:t xml:space="preserve">II. Competitive analysis  </w:t>
        <w:br/>
        <w:t xml:space="preserve">7. The Sogal group is active in the design, manufacture, and marketing of closet doors, and to a lesser extent, room dividers, wardrobes, and blinds as well as custom-made bookshelves. None of the companies currently controlled directly or indirectly by the CDC is active in this sector or in an upstream, downstream, or related sector to that in which the Sogal group operates. Therefore, the notified operation is not likely to harm competition.  </w:t>
        <w:br/>
        <w:t xml:space="preserve">DECIDES  </w:t>
        <w:br/>
        <w:t xml:space="preserve">Sole Article: The operation notified under number 10-0158 is authorized.  </w:t>
        <w:br/>
        <w:t xml:space="preserve">The President,  </w:t>
        <w:br/>
        <w:t xml:space="preserve">Bruno Lasserre  </w:t>
        <w:br/>
        <w:t xml:space="preserve">Competition Authority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