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https://www.autoritedelaconcurrence.fr/fr/decision-de-controle-des-concentrations/relative-la-prise-de-controle-exclusif-du-groupe-sopal-par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24-DCC-173 of July 31, 2024  </w:t>
        <w:br/>
        <w:t xml:space="preserve">regarding the exclusive control acquisition of the Sopal group by the company  </w:t>
        <w:br/>
        <w:t xml:space="preserve">Trioworld Industrier  </w:t>
        <w:br/>
        <w:t xml:space="preserve">The Competition Authority,  </w:t>
        <w:br/>
        <w:t xml:space="preserve">Having regard to the complete notification file submitted to the mergers department on July 15, 2024,  </w:t>
        <w:br/>
        <w:t xml:space="preserve">concerning the exclusive control acquisition of the Sopal group by the company Trioworld Industrier,  </w:t>
        <w:br/>
        <w:t xml:space="preserve">formalized by an acquisition contract signed on June 25,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Trioworld Industrier of all shares  </w:t>
        <w:br/>
        <w:t xml:space="preserve">and voting rights of the company Sopal and its two subsidiaries Palamy and Beaudet et René Jean  </w:t>
        <w:br/>
        <w:t xml:space="preserve">Emballage, which are active in the sector of manufacturing plastic films, extrusion, flexographic printing,  </w:t>
        <w:br/>
        <w:t xml:space="preserve">and bag processing. The operation constitutes a concentration within the meaning of Article L. 430-1 of the  </w:t>
        <w:br/>
        <w:t xml:space="preserve">Commercial Code. Given the revenues generated by the companies concerned, the operation does not fall  </w:t>
        <w:br/>
        <w:t xml:space="preserve">under the jurisdiction of the European Union. On the other hand, the control thresholds mentioned in I of  </w:t>
        <w:br/>
        <w:t xml:space="preserve">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24-184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