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https://www.autoritedelaconcurrence.fr/fr/decision-de-controle-des-concentrations/relative-la-prise-de-controle-exclusif-du-groupe-sopral-par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25-DCC-169 of July 21, 2025</w:t>
        <w:br/>
        <w:t>regarding the exclusive control acquisition of the Sopral group by the company</w:t>
        <w:br/>
        <w:t>CapVest</w:t>
        <w:br/>
        <w:t>The Competition Authority,</w:t>
        <w:br/>
        <w:t>Having regard to the complete notification file sent to the mergers department on July 3, 2025,</w:t>
        <w:br/>
        <w:t>concerning the exclusive control acquisition of the company Financière Estran and its subsidiaries by the</w:t>
        <w:br/>
        <w:t>company CapVest Partners LLP, formalized by a unilateral purchase promise dated June 19,</w:t>
        <w:br/>
        <w:t>2025;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exclusive control acquisition of the company Financière Estran and</w:t>
        <w:br/>
        <w:t>its subsidiaries Sopral France, Sopral e-shop, and Financière Estran Opérationnelle by</w:t>
        <w:br/>
        <w:t>the company CapVest Partners LLP. The relevant sector is that of production and</w:t>
        <w:br/>
        <w:t>marketing of pet food.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25-175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