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https://www.autoritedelaconcurrence.fr/fr/decision-de-controle-des-concentrations/relative-la-prise-de-controle-exclusif-du-groupe-souriau</w:t>
      </w:r>
    </w:p>
    <w:p>
      <w:r>
        <w:t>Pages translated : 4</w:t>
      </w:r>
    </w:p>
    <w:p/>
    <w:p>
      <w:r>
        <w:rPr>
          <w:b/>
        </w:rPr>
        <w:t>[Pages 1–3]</w:t>
      </w:r>
    </w:p>
    <w:p>
      <w:r>
        <w:t xml:space="preserve">FRENCH REPUBLIC  </w:t>
        <w:br/>
        <w:t xml:space="preserve">Decision No. 11-DCC-100 of July 4, 2011  </w:t>
        <w:br/>
        <w:t>regarding the exclusive control of the Souriau group by Esterline Technologies Corporation</w:t>
      </w:r>
    </w:p>
    <w:p>
      <w:r>
        <w:t xml:space="preserve">The Competition Authority,  </w:t>
        <w:br/>
        <w:t xml:space="preserve">Having regard to the notification file submitted in full to the merger service on May 26, 2011, regarding the acquisition of exclusive control of the Souriau group by Esterline Technologies Corporation;  </w:t>
        <w:br/>
        <w:t xml:space="preserve">Having regard to Book IV of the Commercial Code relating to the freedom of prices and competition, and in particular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Esterline Technologies Corporation is a company under U.S. law (hereinafter "Esterline") at the head of an industrial group listed on the New York Stock Exchange, active in the aerospace and defense industry, both civil and military. The group generates approximately half of its turnover outside the United States and is present in France where it holds the companies Auxitrol SA (hereinafter "Auxitrol") and Leach International Europe SA (hereinafter "Leach International Europe"). Auxitrol designs and manufactures temperature, pressure, and flow sensors and pyrometers, as well as connectors, primarily intended for various European and global aerospace programs.  </w:t>
        <w:br/>
        <w:t xml:space="preserve">2. Souriau Technologies Holding SAS is the parent company of the Souriau group (hereinafter "Souriau group"), present in France and several other countries, which manufactures connectors and interconnection products for military, space, and industrial applications. The Souriau group is currently controlled by the company Sagard FCPR.  </w:t>
        <w:br/>
        <w:t>1 See letter C 2005-124 from the Minister of Economy, Finance and Industry dated December 20, 2005, to the advisors of the company Sagard FCPR regarding a concentration in the sector of connectors and interconnection products for military and industrial applications.</w:t>
      </w:r>
    </w:p>
    <w:p>
      <w:r>
        <w:t xml:space="preserve">3. By virtue of an acquisition contract dated May 23, 2011, Esterline will acquire exclusive control of the entire capital and voting rights of the Souriau group.  </w:t>
        <w:br/>
        <w:t>4. The companies concerned together achieve a worldwide turnover excluding tax of more than 150 million euros (Esterline: 1,151 million euros for the fiscal year ending October 29, 2010; Souriau group: 201 million euros for the fiscal year ending June 30, 2010). Each of the companies concerned achieves a turnover in France exceeding 50 million euros (Esterline: 79 million euros for the fiscal year ending October 29, 2010; Souriau group: 67 million euros for the fiscal year ending June 30, 2010). Given these turnovers, the operation does not have a European dimension. On the other hand, the control thresholds of Article L430-3 of the Commercial Code are exceeded. The concentration is therefore subject to the provisions of Articles L430-3 and following of the Commercial Code relating to economic concentration.</w:t>
      </w:r>
    </w:p>
    <w:p>
      <w:r>
        <w:t xml:space="preserve">II. Definition of the relevant markets  </w:t>
        <w:br/>
        <w:t xml:space="preserve">A. THE CONNECTOR MARKETS  </w:t>
        <w:br/>
        <w:t xml:space="preserve">5. The parties are simultaneously active in the sector of manufacturing electronic connectors.  </w:t>
        <w:br/>
        <w:t xml:space="preserve">6. Connectors are components used to ensure interconnection in industrial applications or products. They are employed for various applications, including aerospace, military, automotive, telecommunications, or consumer products such as televisions, electronic games, and washing machines. They can be electronic, electrical, or fiber optic.  </w:t>
        <w:br/>
        <w:t>7. Competition authorities have questioned several times, without definitively resolving, the segmentation of the connector markets.</w:t>
      </w:r>
    </w:p>
    <w:p>
      <w:r>
        <w:t xml:space="preserve">1. SEGMENTATION BY TECHNOLOGY  </w:t>
        <w:br/>
        <w:t xml:space="preserve">8. A first segmentation considered led to distinguishing connectors according to the technology used, examining the segment of electrical connectors on one hand and that of electronic connectors on the other, the Minister having already had the opportunity to note that each type of product allows the transport of a signal of a different nature and is intended for distinct clientele.  </w:t>
        <w:br/>
        <w:t>9. Thus, electrical connectors primarily aim to provide electrical current in industrial or residential buildings. In contrast, electronic connectors allow the transmission of electronic and optical signals, including in environments requiring sealing as well as resistance to extreme temperatures and pressures. These products are intended for more technologically advanced applications such as automotive, aerospace, defense, or oil exploration. Furthermore, the Minister of Economy emphasized that substitutability on the supply side would also be very limited, as the manufacture of electronic connectors would require mastery of more complex technology and would necessitate expertise and know-how different from the manufacture of electrical connectors.</w:t>
      </w:r>
    </w:p>
    <w:p>
      <w:r>
        <w:t xml:space="preserve">2. SEGMENTATION BY TYPE OF APPLICATION  </w:t>
        <w:br/>
        <w:t xml:space="preserve">10. A second segmentation involves distinguishing connectors according to their applications. Thus, the European Commission has already mentioned a segmentation based on major applications, such as telecommunications and computing (professional networks, mobile phones, computers, smart cards), the automotive industry (central locking), the aerospace and defense industries, or electrical construction.  </w:t>
        <w:br/>
        <w:t xml:space="preserve">11. In this case, the parties identify the following three main applications: industrial equipment, aerospace, and defense and space. They explain that it is customary to distinguish between civil and military applications, the latter requiring more advanced connectors in terms of technology and the customers being different for these two applications.  </w:t>
        <w:br/>
        <w:t>12. However, it is not necessary to formally resolve the question of defining the markets in the connector sector in this case, as, regardless of the segmentation chosen, the competitive analysis will not be altered.</w:t>
      </w:r>
    </w:p>
    <w:p>
      <w:r>
        <w:t xml:space="preserve">B. THE GEOGRAPHICAL DIMENSION OF THE CONNECTOR MARKET  </w:t>
        <w:br/>
        <w:t xml:space="preserve">13. Practice has indicated, without formally resolving, that the connector market is probably at least European in dimension, if not global, particularly due to low transport costs and the global purchasing policies of buyers.  </w:t>
        <w:br/>
        <w:t xml:space="preserve">14. The parties believe that the production and supply of connectors have a global dimension. Indeed, the main customers of the parties to the operation are global groups such as Boeing, Lockheed, Honeywell, Safran, Thales, or EADS.  </w:t>
        <w:br/>
        <w:t>15. The question of the geographical dimension of the connector market can, however, be left open in this case, as, regardless of the delimitation chosen, the conclusions of the competitive analysis remain unchanged.</w:t>
      </w:r>
    </w:p>
    <w:p>
      <w:r>
        <w:rPr>
          <w:b/>
        </w:rPr>
        <w:t>[Pages 4–4]</w:t>
      </w:r>
    </w:p>
    <w:p>
      <w:r>
        <w:t xml:space="preserve">III. Competitive Analysis  </w:t>
        <w:br/>
        <w:t xml:space="preserve">16. In the segment of electronic connectors, the parties will hold a combined market share of approximately [0-5]% globally and [0-5]% at the European level. Indeed, Souriau is a relatively modest player globally, and the sales of electronic connectors by Esterline and its subsidiaries, amounting to […] euros in 2010, represent a small part of the group's turnover. These sales are, in any case, very marginal compared to the total market amount that the parties estimated at 34.2 billion euros globally and 7.7 billion euros at the European level.  </w:t>
        <w:br/>
        <w:t xml:space="preserve">17. The parties were unable to break down Esterline's turnover in the electronic connectors sector among the various segments considered. Nevertheless, even by allocating the entirety of Esterline's turnover to each considered segment, the group's market share remains below [0-5]%, regardless of the segment chosen, both globally and at the European level.  </w:t>
        <w:br/>
        <w:t xml:space="preserve">18. Indeed, in the segment of electronic connectors for the global industrial equipment sector, which the parties estimate at approximately 4 billion euros, Souriau holds a market share of approximately [0-5]% and Esterline holds a market share of less than [0-5]%. At the European level, Souriau holds a market share of [0-5]%. The combined market share of the new entity is therefore equivalent.  </w:t>
        <w:br/>
        <w:t xml:space="preserve">19. In the segment of electronic connectors intended for aerospace, the parties hold combined market shares of approximately [5-10]% globally and [10-15]% at the European level.  </w:t>
        <w:br/>
        <w:t xml:space="preserve">20. Finally, in the segment of connectors for the defense and aerospace sector, Souriau currently holds an estimated market share of [0-5]% globally and [5-10]% at the European level. Esterline holds, for its part, a negligible market share at both the global and European levels. Following the operation, the market shares of the new entity will be [0-5]% globally and [5-10]% at the European level.  </w:t>
        <w:br/>
        <w:t xml:space="preserve">21. Therefore, the operation is not likely to harm competition.  </w:t>
        <w:br/>
        <w:t xml:space="preserve">DECIDES  </w:t>
        <w:br/>
        <w:t xml:space="preserve">Sole Article: The operation notified under number 11-0099 is authorized.  </w:t>
        <w:br/>
        <w:t xml:space="preserve">The President,  </w:t>
        <w:br/>
        <w:t xml:space="preserve">Bruno Lasserre  </w:t>
        <w:br/>
        <w:t xml:space="preserve">Competition Authority  </w:t>
        <w:br/>
        <w:t>9 Source: Bishop Associates Report, Connector market handbook – world market statistics – regions – products – equipment – 2000 – 2015; April 2011.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