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https://www.autoritedelaconcurrence.fr/fr/decision-de-controle-des-concentrations/relative-la-prise-de-controle-exclusif-du-groupe-spvie-par</w:t>
      </w:r>
    </w:p>
    <w:p>
      <w:r>
        <w:t>Pages translated : 2</w:t>
      </w:r>
    </w:p>
    <w:p/>
    <w:p>
      <w:r>
        <w:rPr>
          <w:b/>
        </w:rPr>
        <w:t>[Pages 1–2]</w:t>
      </w:r>
    </w:p>
    <w:p>
      <w:r>
        <w:t xml:space="preserve">FRENCH REPUBLIC  </w:t>
        <w:br/>
        <w:t xml:space="preserve">Decision No. 25-DCC-186 of August 19, 2025  </w:t>
        <w:br/>
        <w:t xml:space="preserve">regarding the exclusive control acquisition of the SPVIE group  </w:t>
        <w:br/>
        <w:t xml:space="preserve">by the Tikehau Capital group  </w:t>
        <w:br/>
        <w:t xml:space="preserve">The Competition Authority,  </w:t>
        <w:br/>
        <w:t xml:space="preserve">Having regard to the complete notification file submitted to the mergers department on August 1, 2025,  </w:t>
        <w:br/>
        <w:t xml:space="preserve">concerning the exclusive control acquisition of the SPVIE group by several funds and investment vehicles represented by Tikehau Investment Management, a 100% subsidiary of Tikehau Capital, and formalized by a conciliation protocol signed on July 24,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SPVIE group and its subsidiaries by Tikehau Investment Management, a 100% subsidiary of Tikehau Capital. The relevant sector is that of insurance distribution on behalf of third parties.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25-196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