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https://www.autoritedelaconcurrence.fr/fr/decision-de-controle-des-concentrations/relative-la-prise-de-controle-exclusif-du-groupe-srda-par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18-DCC-20 of February 5, 2018  </w:t>
        <w:br/>
        <w:t xml:space="preserve">regarding the exclusive control acquisition of the SRDA group by the company  </w:t>
        <w:br/>
        <w:t xml:space="preserve">Horizon  </w:t>
        <w:br/>
        <w:t xml:space="preserve">The Competition Authority,  </w:t>
        <w:br/>
        <w:t xml:space="preserve">Having regard to the complete notification file submitted to the mergers department on January 5, 2018,  </w:t>
        <w:br/>
        <w:t xml:space="preserve">concerning the exclusive control acquisition of the SRDA group by the company Horizon, and formalized  </w:t>
        <w:br/>
        <w:t xml:space="preserve">by a share transfer agreement dated December 20, 2017.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SRDA, operating car  </w:t>
        <w:br/>
        <w:t xml:space="preserve">dealerships, by the company Horizon, controlled by the Bernis group, which is itself active  </w:t>
        <w:br/>
        <w:t xml:space="preserve">in the automotive distribution markets.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 </w:t>
        <w:br/>
        <w:t xml:space="preserve">the retail trade control thresholds mentioned in point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18-002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