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https://www.autoritedelaconcurrence.fr/fr/decision-de-controle-des-concentrations/relative-la-prise-de-controle-exclusif-du-groupe-st-hubert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22-DCC-40 of March 30, 2022  </w:t>
        <w:br/>
        <w:t xml:space="preserve">regarding the exclusive control acquisition of the St Hubert group by  </w:t>
        <w:br/>
        <w:t xml:space="preserve">Fosun International Limited  </w:t>
        <w:br/>
        <w:t xml:space="preserve">The Competition Authority,  </w:t>
        <w:br/>
        <w:t xml:space="preserve">Having regard to the complete notification file submitted to the mergers department on March 15, 2022,  </w:t>
        <w:br/>
        <w:t xml:space="preserve">concerning the exclusive control acquisition of HCo Lux, the company holding the  </w:t>
        <w:br/>
        <w:t xml:space="preserve">St Hubert group, by Fosun International Limited, [confidential];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by Fosun International  </w:t>
        <w:br/>
        <w:t xml:space="preserve">Limited of the St Hubert group, active in the sector of manufacturing and marketing of  </w:t>
        <w:br/>
        <w:t xml:space="preserve">food products based on vegetable fats and plant-based yogurts. It constitutes  </w:t>
        <w:br/>
        <w:t xml:space="preserve">a concentration operation within the meaning of Article L. 430-1 of the Commercial Code. Given  </w:t>
        <w:br/>
        <w:t xml:space="preserve">the turnover achieved by the concerned companies, the operation does not fall under the  </w:t>
        <w:br/>
        <w:t xml:space="preserve">competence of the European Union. On the other hand, the control thresholds mentioned in I of  </w:t>
        <w:br/>
        <w:t xml:space="preserve">Article L. 430-2 of the Commercial Code are exceeded. This operation is therefore subject  </w:t>
        <w:br/>
        <w:t xml:space="preserve">to the provisions of Articles L. 430-3 and following of the Commercial Code relating to  </w:t>
        <w:br/>
        <w:t xml:space="preserve">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22-036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