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https://www.autoritedelaconcurrence.fr/fr/decision-de-controle-des-concentrations/relative-la-prise-de-controle-exclusif-du-groupe-staci-0</w:t>
      </w:r>
    </w:p>
    <w:p>
      <w:r>
        <w:t>Pages translated : 2</w:t>
      </w:r>
    </w:p>
    <w:p/>
    <w:p>
      <w:r>
        <w:rPr>
          <w:b/>
        </w:rPr>
        <w:t>[Pages 1–2]</w:t>
      </w:r>
    </w:p>
    <w:p>
      <w:r>
        <w:t xml:space="preserve">FRENCH REPUBLIC  </w:t>
        <w:br/>
        <w:t xml:space="preserve">Decision No. 17-DCC-117 of July 21, 2017  </w:t>
        <w:br/>
        <w:t xml:space="preserve">regarding the exclusive control acquisition of the Staci group by the company  </w:t>
        <w:br/>
        <w:t xml:space="preserve">Cobepa  </w:t>
        <w:br/>
        <w:t xml:space="preserve">The Competition Authority,  </w:t>
        <w:br/>
        <w:t xml:space="preserve">Having regard to the complete notification file submitted to the mergers department on June 16, 2017,  </w:t>
        <w:br/>
        <w:t xml:space="preserve">concerning the exclusive control acquisition of the Staci group by the company Cobepa, formalized by an  </w:t>
        <w:br/>
        <w:t xml:space="preserve">offer letter dated May 23, 2017;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the company Cobepa, an  </w:t>
        <w:br/>
        <w:t xml:space="preserve">investment company under Belgian law ultimately controlled by the company Vedipar SA, of the Staci  </w:t>
        <w:br/>
        <w:t xml:space="preserve">group, which is active in the logistics services sector. It constitutes a concentration operation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17-117 is authorized.  </w:t>
        <w:br/>
        <w:t xml:space="preserve">The Vice-President,  </w:t>
        <w:br/>
        <w:t xml:space="preserve">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