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https://www.autoritedelaconcurrence.fr/fr/decision-de-controle-des-concentrations/relative-la-prise-de-controle-exclusif-du-groupe-staci-par</w:t>
      </w:r>
    </w:p>
    <w:p>
      <w:r>
        <w:t>Pages translated : 2</w:t>
      </w:r>
    </w:p>
    <w:p/>
    <w:p>
      <w:r>
        <w:rPr>
          <w:b/>
        </w:rPr>
        <w:t>[Pages 1–2]</w:t>
      </w:r>
    </w:p>
    <w:p>
      <w:r>
        <w:t xml:space="preserve">FRENCH REPUBLIC  </w:t>
        <w:br/>
        <w:t xml:space="preserve">Decision No. 14-DCC-95 of July 1, 2014  </w:t>
        <w:br/>
        <w:t xml:space="preserve">regarding the exclusive control acquisition of the Staci group by  </w:t>
        <w:br/>
        <w:t xml:space="preserve">Intermediate Capital Group  </w:t>
        <w:br/>
        <w:t xml:space="preserve">The Competition Authority,  </w:t>
        <w:br/>
        <w:t xml:space="preserve">Having regard to the notification file submitted in full to the mergers department on June 10, 2014,  </w:t>
        <w:br/>
        <w:t xml:space="preserve">concerning the exclusive control acquisition of the Staci group by Intermediate Capital Group and  </w:t>
        <w:br/>
        <w:t xml:space="preserve">materialized by a unilateral purchase promise and an acquisition and sale agreement dated May 26, 2014;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Staci group, active in the  </w:t>
        <w:br/>
        <w:t xml:space="preserve">logistics services sector, by the private equity company Intermediate Capital Group. It constitutes a concentration operation within the meaning of Article L. 430-1 of the  </w:t>
        <w:br/>
        <w:t xml:space="preserve">Commercial Code. Given the turnover achieved by the concerned companies, the operation does not fall under the jurisdiction of the European Union. On the other hand, the control thresholds relating to concentration operations mentioned in point I of Article L. 430-2 of the  </w:t>
        <w:br/>
        <w:t xml:space="preserve">Commercial Code are exceeded. The present operation is therefore subject to the provisions of  </w:t>
        <w:br/>
        <w:t xml:space="preserve">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14-090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