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https://www.autoritedelaconcurrence.fr/fr/decision-de-controle-des-concentrations/relative-la-prise-de-controle-exclusif-du-groupe-stago-par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26-DCC-54 of February 11, 2026  </w:t>
        <w:br/>
        <w:t xml:space="preserve">regarding the exclusive control acquisition of the Stago group  </w:t>
        <w:br/>
        <w:t xml:space="preserve">by the company Archimed  </w:t>
        <w:br/>
        <w:t xml:space="preserve">The Competition Authority,  </w:t>
        <w:br/>
        <w:t xml:space="preserve">Having regard to the complete notification file sent to the mergers department on January 20, 2026,  </w:t>
        <w:br/>
        <w:t xml:space="preserve">concerning the exclusive control acquisition of the Stago group by the company Archimed, formalized by  </w:t>
        <w:br/>
        <w:t xml:space="preserve">a firm offer letter, a unilateral purchase promise, and an investment letter signed on December 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notifying party during the investigation;  </w:t>
        <w:br/>
        <w:t xml:space="preserve">Adopts the following decision:  </w:t>
        <w:br/>
        <w:t xml:space="preserve">1. The notified operation consists of the acquisition by the company Archimed, through the funds  </w:t>
        <w:br/>
        <w:t xml:space="preserve">Med Platform II S.L.P., Archimed – Med Platform II-B FPCI and MPII-COI-Stago, of the exclusive control  </w:t>
        <w:br/>
        <w:t xml:space="preserve">of the Stago group, active in in vitro diagnostics, and more particularly in the field of hemostasis. The operation constitutes a concentration within the meaning of Article L. 430-1  </w:t>
        <w:br/>
        <w:t xml:space="preserve">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25-363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