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https://www.autoritedelaconcurrence.fr/fr/decision-de-controle-des-concentrations/relative-la-prise-de-controle-exclusif-du-groupe-steliau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24-DCC-61 of April 15, 2024</w:t>
        <w:br/>
        <w:t>regarding the exclusive control acquisition of the Steliau group by the company</w:t>
        <w:br/>
        <w:t>Astorg</w:t>
        <w:br/>
        <w:t>The Competition Authority,</w:t>
        <w:br/>
        <w:t>Having regard to the complete notification file sent to the mergers department on March 28, 2024,</w:t>
        <w:br/>
        <w:t>concerning the exclusive control acquisition of the Steliau group by the company Astorg, formalized by a</w:t>
        <w:br/>
        <w:t>share transfer agreement dated February 22,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Astorg of the Steliau group, active in the wholesale distribution of electronic and electromechanical components. The operation constitutes a concentration operation within the meaning of Article L. 430-1 of the Commercial Code. Given the turnover achieved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24-070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