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https://www.autoritedelaconcurrence.fr/fr/decision-de-controle-des-concentrations/relative-la-prise-de-controle-exclusif-du-groupe-sterne-par</w:t>
      </w:r>
    </w:p>
    <w:p>
      <w:r>
        <w:t>Pages translated : 2</w:t>
      </w:r>
    </w:p>
    <w:p/>
    <w:p>
      <w:r>
        <w:rPr>
          <w:b/>
        </w:rPr>
        <w:t>[Pages 1–2]</w:t>
      </w:r>
    </w:p>
    <w:p>
      <w:r>
        <w:t xml:space="preserve">FRENCH REPUBLIC  </w:t>
        <w:br/>
        <w:t xml:space="preserve">Decision No. 21-DCC-21-DCC-216 of December 2, 2021  </w:t>
        <w:br/>
        <w:t xml:space="preserve">regarding the exclusive control acquisition of the Sterne group by the Tikehau Capital group  </w:t>
        <w:br/>
        <w:t xml:space="preserve">The Competition Authority,  </w:t>
        <w:br/>
        <w:t xml:space="preserve">Having regard to the complete notification file submitted to the mergers department on November 16, 2021, concerning the exclusive control acquisition of the Sterne group by the Tikehau Capital group, via the management company Tikehau Investment Management, formalized by a share transfer and acquisition agreement dated November 12,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Tikehau Capital group of the Sterne group, active in the messaging sector.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21-263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