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https://www.autoritedelaconcurrence.fr/fr/decision-de-controle-des-concentrations/relative-la-prise-de-controle-exclusif-du-groupe-stokomani</w:t>
      </w:r>
    </w:p>
    <w:p>
      <w:r>
        <w:t>Pages translated : 12</w:t>
      </w:r>
    </w:p>
    <w:p/>
    <w:p>
      <w:r>
        <w:rPr>
          <w:b/>
        </w:rPr>
        <w:t>[Pages 1–3]</w:t>
      </w:r>
    </w:p>
    <w:p>
      <w:r>
        <w:t xml:space="preserve">FRENCH REPUBLIC  </w:t>
        <w:br/>
        <w:t xml:space="preserve">Decision No. 22-DCC-31 of March 21, 2022  </w:t>
        <w:br/>
        <w:t xml:space="preserve">regarding the exclusive control of the Stokomani group by the Zouari family  </w:t>
        <w:br/>
        <w:t xml:space="preserve">The Competition Authority,  </w:t>
        <w:br/>
        <w:t xml:space="preserve">Having regard to the notification file submitted in full to the merger service on February 23, 2022, regarding the exclusive control of the Stokomani group by the Zouari family, formalized by a unilateral purchase promise dated December 17, 2021;  </w:t>
        <w:br/>
        <w:t xml:space="preserve">Having regard to Book IV of the Commercial Code relating to the freedom of prices and competition, and in particular its Articles L. 430-1 to L. 430-7;  </w:t>
        <w:br/>
        <w:t xml:space="preserve">Having regard to the additional information provided by the notifying party during the investigation:  </w:t>
        <w:br/>
        <w:t>Adopts the following decision:</w:t>
      </w:r>
    </w:p>
    <w:p>
      <w:r>
        <w:t xml:space="preserve">I. The companies involved and the operation ...................................... 4  </w:t>
        <w:br/>
        <w:t xml:space="preserve">A. THE COMPANIES INVOLVED ............................................................................................. 4  </w:t>
        <w:br/>
        <w:t xml:space="preserve">1. THE ZOUARI FAMILY ................................................................................................................. 4  </w:t>
        <w:br/>
        <w:t xml:space="preserve">2. THE STOKOMANI GROUP ........................................................................................................... 4  </w:t>
        <w:br/>
        <w:t xml:space="preserve">B. THE OPERATION ................................................................................................................................. 4  </w:t>
        <w:br/>
        <w:t xml:space="preserve">II. Definition of relevant markets ........................................... 5  </w:t>
        <w:br/>
        <w:t xml:space="preserve">A. THE UPSTREAM MARKETS FOR THE SUPPLY OF BAZAAR AND DECORATION PRODUCTS ........................................................................................................................................... 5  </w:t>
        <w:br/>
        <w:t xml:space="preserve">1. MARKETS FOR PRODUCTS AND SERVICES ................................................................................. 5  </w:t>
        <w:br/>
        <w:t xml:space="preserve">2. GEOGRAPHICAL MARKETS ...................................................................................................... 5  </w:t>
        <w:br/>
        <w:t xml:space="preserve">B. THE DOWNSTREAM MARKETS FOR RETAIL DISTRIBUTION OF BAZAAR AND DECORATION PRODUCTS ..................................................................................................................................... 6  </w:t>
        <w:br/>
        <w:t xml:space="preserve">1. MARKETS FOR PRODUCTS AND SERVICES ................................................................................ 6  </w:t>
        <w:br/>
        <w:t xml:space="preserve">The distinction based on price .......................................................................... 6  </w:t>
        <w:br/>
        <w:t xml:space="preserve">The distinction by distribution channel .............................................................. 6  </w:t>
        <w:br/>
        <w:t xml:space="preserve">2. GEOGRAPHICAL MARKETS ...................................................................................................... 7  </w:t>
        <w:br/>
        <w:t xml:space="preserve">III. Competitive Analysis ................................................................ 8  </w:t>
        <w:br/>
        <w:t xml:space="preserve">A. UPSTREAM MARKET OF SOURCING BAZAAR AND DECORATION PRODUCTS ........................................................................................................................................... 8  </w:t>
        <w:br/>
        <w:t xml:space="preserve">B. DOWNSTREAM MARKETS FOR THE DISTRIBUTION OF BAZAAR AND DECORATION PRODUCTS .......................................................................................................................... 8  </w:t>
        <w:br/>
        <w:t xml:space="preserve">1. COMPETITIVE ANALYSIS AT THE NATIONAL LEVEL ............................................................. 9  </w:t>
        <w:br/>
        <w:t xml:space="preserve">2. COMPETITIVE ANALYSIS AT THE LOCAL LEVEL .................................................................. 9  </w:t>
        <w:br/>
        <w:t>DECIDES ............................................................................................................................. 12</w:t>
      </w:r>
    </w:p>
    <w:p>
      <w:r>
        <w:t xml:space="preserve">Summary1  </w:t>
        <w:br/>
        <w:t xml:space="preserve">By this decision, the Authority examined the exclusive control by the Zouari family, through its subsidiaries Imanes and HGZ, of 127 retail outlets specializing in bazaar and decoration products under the Stokomani brand located in France. The Zouari family is active in the retail distribution market of bazaar and decoration products through the brands Maxi Bazar, which includes 89 stores, 57 of which are located in France, and Dya Shopping, which operates 8 stores located in France.  </w:t>
        <w:br/>
        <w:t xml:space="preserve">Given the activities of the Zouari family and the target, the main focus of the Authority's examination was on the effects of the operation on the upstream market for sourcing bazaar and decoration products as well as on the downstream markets for retail distribution of bazaar and decoration products, which were analyzed at both the national and local levels (in catchment areas centered on Stokomani stores).  </w:t>
        <w:br/>
        <w:t xml:space="preserve">In the upstream market, any risk of harm to competition through horizontal effects was ruled out, given the limited market share of the parties. This was also the case in the national retail distribution market for bazaar and decoration products.  </w:t>
        <w:br/>
        <w:t xml:space="preserve">In the downstream market, at the local level, in accordance with its decision-making practice2, the Authority initially conducted an analysis on a restricted market that included only large specialized stores in bazaar and decoration products, discounters offering bazaar and decoration products, and large specialized stores in personal and home equipment (hereinafter, "restricted market"). When necessary, it also took into account the competitive pressure exerted by food hypermarkets of over 6,000 m².  </w:t>
        <w:br/>
        <w:t xml:space="preserve">The operation leads to overlaps in 36 catchment areas. In twelve of these catchment areas, the cumulative market share of the parties is below 25%. Any risk of harm to competition was therefore ruled out. In 23 catchment areas centered on Stokomani stores, the cumulative market share of the parties is between 25% and 45%, but the presence of at least three competitors belonging to the restricted market identified by the decision-making practice was sufficient to rule out any risk of harm to competition. Finally, in one area (Rillieux-la-Pape – 69), the market share of the new entity will be slightly above 45%. However, the parties will face competition from four operators belonging to the restricted market, as well as from six food hypermarkets. Any competitive issue was therefore ruled out.  </w:t>
        <w:br/>
        <w:t xml:space="preserve">At the end of its competitive analysis, the Authority authorized the operation unconditionally.  </w:t>
        <w:br/>
        <w:t xml:space="preserve">1 This summary is purely informative. Only the reasons for the decision numbered below are authoritative.  </w:t>
        <w:br/>
        <w:t xml:space="preserve">2 Decision No. 17-DCC-216 of December 18, 2017, regarding the exclusive control of the assets of the companies Lilnat, Vetura, and Agora Distribution by the company Groupe Philippe Ginestet.  </w:t>
        <w:br/>
        <w:t>3</w:t>
      </w:r>
    </w:p>
    <w:p>
      <w:r>
        <w:rPr>
          <w:b/>
        </w:rPr>
        <w:t>[Pages 4–6]</w:t>
      </w:r>
    </w:p>
    <w:p>
      <w:r>
        <w:t xml:space="preserve">I. The companies involved and the operation  </w:t>
        <w:br/>
        <w:t xml:space="preserve">A. THE COMPANIES INVOLVED  </w:t>
        <w:br/>
        <w:t xml:space="preserve">1. THE ZOUARI FAMILY  </w:t>
        <w:br/>
        <w:t xml:space="preserve">1. The Zouari family (hereinafter, "the acquirer" or "the notifying party") holds 100% of the capital of the companies HGZ SAS and Imanes SARL. Through this means, it controls, either exclusively or jointly with the Casino group, […] stores under the Casino, Franprix, and Monop' brands, located mainly in Paris and the Paris region3.  </w:t>
        <w:br/>
        <w:t xml:space="preserve">2. Furthermore, the Zouari family jointly controls the Picard group, which is active in the frozen food distribution sector, alongside the Lion Capital fund.  </w:t>
        <w:br/>
        <w:t xml:space="preserve">3. Finally, the Zouari family holds exclusive control of the Maxi Bazar group, which operates 89 stores specialized in the retail trade of bazaar and decoration items, of which 57 are in France4. Since February 2022, the Maxi Bazar group has also held exclusive control of the company Ets André Coo, which operates 8 stores under the "Dya" brand specializing in the retail trade of low-priced furniture, bazaar, and decoration items5.  </w:t>
        <w:br/>
        <w:t xml:space="preserve">2. THE STOKOMANI GROUP  </w:t>
        <w:br/>
        <w:t xml:space="preserve">4. The Stokomani group (hereinafter, "Stokomani" or "the target") consists of the French company Stokocorp, the holding company of the Stokomani group, and the French company Stokomani, which operates the stores located in France. The latter also holds 100% of the capital of the Chinese company Stokomani trading, responsible for sourcing for the Stokomani group, and the French company New Fashion Brands, responsible for managing the brand portfolio and the online sales site of the group.  </w:t>
        <w:br/>
        <w:t xml:space="preserve">5. Prior to the operation, the capital of the Stokomani group was predominantly held by the Sagard group and the Claminvest company.  </w:t>
        <w:br/>
        <w:t xml:space="preserve">B. THE OPERATION  </w:t>
        <w:br/>
        <w:t xml:space="preserve">6. The operation consists of the acquisition by the Zouari family, through Imanes and HGZ, of […] % of the capital of the target6.  </w:t>
        <w:br/>
        <w:t xml:space="preserve">7. As it results in the exclusive control of the target by the Zouari family, the notified operation constitutes a concentration operation within the meaning of Article L. 430-1 of the Commercial Code.  </w:t>
        <w:br/>
        <w:t xml:space="preserve">8. The companies involved together achieve a total worldwide turnover excluding taxes of more than 75 million euros (Zouari family7: [&gt;75] million euros for the fiscal year ending December 31, 2020; Stokomani: [&gt;75] million euros for the fiscal year ending December 31, 2020). Each of these companies achieved, in France, a turnover exceeding 15 million euros in retail trade (Zouari family: [&gt;15] million euros for the fiscal year ending December 31, 2020; Stokomani: [&gt;15] million euros for the fiscal year ending December 31, 2019). Given these turnovers, the operation does not fall under the jurisdiction of the European Union. However, the control thresholds related to retail trade mentioned in II of Article L. 430-2 of the Commercial Code are exceeded. Therefore, the present operation is subject to the provisions of Articles L. 430-3 and following of the Commercial Code relating to economic concentration.  </w:t>
        <w:br/>
        <w:t xml:space="preserve">II. Definition of Relevant Markets  </w:t>
        <w:br/>
        <w:t xml:space="preserve">9. The parties are simultaneously present in the upstream markets for sourcing bazaar and decoration products and in the downstream markets for the retail distribution of bazaar and decoration products8.  </w:t>
        <w:br/>
        <w:t xml:space="preserve">10. The parties are also active in the market for sourcing furniture products and in the market for the retail distribution of low-priced furniture products. However, considering the low market share of the new entity (less than 5% in each of the relevant markets mentioned above, regardless of the segmentation chosen) and the marginal nature of the target's activity in this market, any risk of harm to competition through horizontal effects can be ruled out across all these markets, which will not be subject to detailed analysis in this decision.  </w:t>
        <w:br/>
        <w:t xml:space="preserve">A. UPSTREAM MARKETS FOR SOURCING BAZAAR AND DECORATION PRODUCTS  </w:t>
        <w:br/>
        <w:t xml:space="preserve">1. MARKETS FOR PRODUCTS AND SERVICES  </w:t>
        <w:br/>
        <w:t xml:space="preserve">11. National decision-making practice has identified distinct markets for sourcing (i) furniture, (ii) bazaar-decoration products, (iii) small household appliances, (iv) large household appliances, (v) cameras and cinema equipment, (vi) Hi-fi and sound equipment, (vii) TV and video equipment, and (viii) computers and peripherals9.  </w:t>
        <w:br/>
        <w:t xml:space="preserve">12. There is no reason to challenge this delimitation in the context of the present operation.  </w:t>
        <w:br/>
        <w:t xml:space="preserve">13. In this case, both parties to the operation are active, as buyers, in the market for sourcing bazaar and decoration products.  </w:t>
        <w:br/>
        <w:t xml:space="preserve">2. GEOGRAPHICAL MARKETS  </w:t>
        <w:br/>
        <w:t xml:space="preserve">14. Regarding sourcing markets, the decision-making practice of competition authorities has so far retained at least a national dimension. It has also conducted its analysis at the European and global levels10.  </w:t>
        <w:br/>
        <w:t xml:space="preserve">15. In any case, the question of the exact geographical delimitation of these markets can be left open, as, regardless of the delimitation chosen, the conclusions of the competitive analysis remain unchanged. The competitive analysis will thus be conducted considering the purchasing shares of the parties at the national, European, and global levels.  </w:t>
        <w:br/>
        <w:t xml:space="preserve">B. DOWNSTREAM MARKETS FOR RETAIL DISTRIBUTION OF BAZAAR AND DECORATION PRODUCTS  </w:t>
        <w:br/>
        <w:t xml:space="preserve">1. MARKETS FOR PRODUCTS AND SERVICES  </w:t>
        <w:br/>
        <w:t xml:space="preserve">16. National decision-making practice has recognized the existence of a market for the retail distribution of bazaar and decoration products, which includes all decoration and home improvement products, excluding "furnishing" furniture and household appliances11.  </w:t>
        <w:br/>
        <w:t xml:space="preserve">17. The Authority has also considered a segmentation of the downstream markets for the retail sale of bazaar and decoration products based on two criteria: price and distribution channel.  </w:t>
        <w:br/>
        <w:t xml:space="preserve">The distinction based on price  </w:t>
        <w:br/>
        <w:t xml:space="preserve">18. Decision-making practice has recognized a specific market for the retail distribution of low and medium-priced bazaar and decoration products12. Indeed, the Authority noted that the brands present in this market distribute products at moderate prices and do not rely on well-known brands.  </w:t>
        <w:br/>
        <w:t xml:space="preserve">19. There is no reason to challenge this delimitation in the context of the present investigation.  </w:t>
        <w:br/>
        <w:t xml:space="preserve">The distinction by distribution channel  </w:t>
        <w:br/>
        <w:t xml:space="preserve">20. The Authority considers that the market for the retail distribution of bazaar and decoration products consists of large specialized stores (hereinafter, "GSS") in bazaar and decoration products, specialized stores in personal and home equipment (such as Bouchara and B&amp;M), discount stores offering bazaar and decoration items (such as Noz and Maxxilot), and certain large food stores (hereinafter, "GSA"). Regarding the latter, the Authority has considered that only those with a sales area of more than 6,000 m² should be included in the analysis, as they are the only ones capable of exerting real competitive pressure on the activities of the parties. There is no reason to challenge these delimitations in the context of the present investigation.  </w:t>
        <w:br/>
        <w:t xml:space="preserve">21. Finally, the Authority has considered, while leaving the precise delimitation of this market open, that, given the very low share represented by online sales of decoration and bazaar products, the necessity for consumers to see the product, and the impulsive nature of the purchase of such products, the online sale of low and medium-priced decoration and bazaar products could constitute a distinct market from the in-store sale of these same products.  </w:t>
        <w:br/>
        <w:t xml:space="preserve">22. In this case, given the marginal share of online sales made by the parties to the operation, the question can be left open as, regardless of the assumption made, the conclusions of the competitive analysis will remain unchanged. The analysis  </w:t>
        <w:br/>
        <w:t xml:space="preserve">11 See notably the letter from the Minister of Economy, Finance and Employment C2006-155 dated August 31, 2007, to the board of the company Cafom, regarding a concentration in the sector of the sale of household equipment goods and the decisions of the Competition Authority No. 17-DCC-216 dated December 18, 2017, regarding the exclusive control of the assets of the companies Lilnat, Vetura, and Agora Distribution by the company Groupe Philippe Ginestet and No. 15-DCC-28 dated March 17, 2015, regarding the exclusive control of six points of sale under the Fly and Atlas brands by But International.  </w:t>
        <w:br/>
        <w:t>12 See the aforementioned decision No. 17-DCC-216 and the decisions it cites.</w:t>
      </w:r>
    </w:p>
    <w:p>
      <w:r>
        <w:rPr>
          <w:b/>
        </w:rPr>
        <w:t>[Pages 7–9]</w:t>
      </w:r>
    </w:p>
    <w:p>
      <w:r>
        <w:t>the competitive analysis will thus be conducted on a market for physical store sales, on the one hand, and on a market for online sales, on the other.</w:t>
      </w:r>
    </w:p>
    <w:p>
      <w:r>
        <w:t>2. GEOGRAPHICAL MARKETS</w:t>
      </w:r>
    </w:p>
    <w:p>
      <w:r>
        <w:t>23. Distribution markets generally undergo a dual analysis at both the national and local levels. Indeed, significant parameters of competition can be assessed at the national level, particularly when prices are largely determined at this level by network heads, leaving only a small margin for pricing flexibility to store managers. Similarly, certain non-price strategic decisions can be centralized, such as assortment structures, after-sales services, quality controls, advertising campaigns, customer loyalty policies (for example, through loyalty cards), promotional actions or new product launches, or even store location policies.</w:t>
      </w:r>
    </w:p>
    <w:p>
      <w:r>
        <w:t>24. Under these conditions, the positions of the various players at the national level as well as the characteristics of the relevant product markets must be taken into account to inform the analysis of the effects of the operation on the concerned market.</w:t>
      </w:r>
    </w:p>
    <w:p>
      <w:r>
        <w:t>25. However, in decision no. 17-DCC-216 mentioned above, the Authority found that, in accordance with its consistent decision-making practice regarding retail trade in physical stores, competition among operators active in the bazaar and decoration product distribution market was primarily exercised at the local level, from the consumer's perspective, on markets whose size varies depending on the type of products concerned and the attractiveness of the stores.</w:t>
      </w:r>
    </w:p>
    <w:p>
      <w:r>
        <w:t>26. It was thus considered that consumers were willing to undertake a car journey lasting 20 to 45 minutes to reach a store and compare products and prices from one brand to another.</w:t>
      </w:r>
    </w:p>
    <w:p>
      <w:r>
        <w:t>27. It was noted that the size of catchment areas varied depending on their location. Thus, the Authority considered it appropriate to distinguish between stores located in Paris and those located in metropolitan France outside of Paris. The Authority thus retained:</w:t>
        <w:br/>
        <w:t>(i) areas defined by a car journey lasting a maximum of 20 minutes for stores located outside of Paris intra-muros;</w:t>
        <w:br/>
        <w:t>(ii) areas of one and two kilometers for stores located in Paris intra-muros;</w:t>
        <w:br/>
        <w:t>(iii) areas defined by a car journey lasting a maximum of 20, 30, and 45 minutes for stores located in overseas departments and regions (DROM).</w:t>
      </w:r>
    </w:p>
    <w:p>
      <w:r>
        <w:t>28. There is no need to challenge this definition during the examination of the present operation.</w:t>
      </w:r>
    </w:p>
    <w:p>
      <w:r>
        <w:t>29. In this case, the parties are exclusively active in metropolitan France. Their situation in the DROM will therefore not be studied. Furthermore, Stokomani stores are exclusively present outside of Paris intra-muros. Consequently, the local analysis will only be conducted on areas defined by a car journey lasting a maximum of 20 minutes.</w:t>
      </w:r>
    </w:p>
    <w:p>
      <w:r>
        <w:t>30. Finally, regarding online sales, the competitive analysis is traditionally conducted at the national level, given the linguistic differences, the heterogeneity of consumer habits, as well as the costs and delivery times. In this case, the competitive analysis will therefore be conducted at the French level regarding the online sale of bazaar and decoration products.</w:t>
      </w:r>
    </w:p>
    <w:p>
      <w:r>
        <w:t>III. Competitive Analysis</w:t>
      </w:r>
    </w:p>
    <w:p>
      <w:r>
        <w:t>31. Given the simultaneous presence of the Zouari family, through the brands Maxi Bazar and Dya Shopping, and Stokomani in the upstream market of sourcing bazaar and decoration products as buyers (A), and in the downstream markets of retail distribution of bazaar and decoration products as suppliers (B), the competitive analysis will focus on the effects of the operation on these two markets.</w:t>
      </w:r>
    </w:p>
    <w:p>
      <w:r>
        <w:t>A. UPSTREAM MARKET OF SOURCING BAZAAR AND DECORATION PRODUCTS</w:t>
      </w:r>
    </w:p>
    <w:p>
      <w:r>
        <w:t>32. According to the parties' estimates, the purchasing share of the new entity will be less than 10% in the French market for sourcing decoration and bazaar products. This purchasing share would be less than 5% in the European market and, a fortiori, less than 1% in the global market for sourcing bazaar and decoration products.</w:t>
      </w:r>
    </w:p>
    <w:p>
      <w:r>
        <w:t>33. The operation is therefore not likely to affect competition in the upstream market for sourcing bazaar and decoration products.</w:t>
      </w:r>
    </w:p>
    <w:p>
      <w:r>
        <w:t>B. DOWNSTREAM MARKETS FOR THE DISTRIBUTION OF BAZAAR AND DECORATION PRODUCTS</w:t>
      </w:r>
    </w:p>
    <w:p>
      <w:r>
        <w:t>34. Prior to the operation, the Zouari family is present in this market through the Maxi Bazar group, which operates 57 stores located in France, and through the company Ets André Coo, which operates 8 stores under the "Dya" brand located in France. Both Maxi Bazar and Dya operate a website (respectively www.maxibazar.fr and www.dya-shopping.fr).</w:t>
      </w:r>
    </w:p>
    <w:p>
      <w:r>
        <w:t>35. The target operates 127 stores under the Stokomani brand located in France as well as a website (www.stokomani.fr).</w:t>
      </w:r>
    </w:p>
    <w:p>
      <w:r>
        <w:t>36. As indicated above, Stokomani stores are exclusively present in metropolitan France outside of Paris intra-muros.</w:t>
      </w:r>
    </w:p>
    <w:p>
      <w:r>
        <w:t>37. It is therefore necessary to analyze the horizontal effects resulting from the acquisition by the Zouari family of these 127 stores under the Stokomani brand, at the national (1) and local (2) levels.</w:t>
      </w:r>
    </w:p>
    <w:p>
      <w:r>
        <w:t>1. COMPETITIVE ANALYSIS AT THE NATIONAL LEVEL</w:t>
      </w:r>
    </w:p>
    <w:p>
      <w:r>
        <w:t>Store Sales</w:t>
      </w:r>
    </w:p>
    <w:p>
      <w:r>
        <w:t>38. The market shares of the parties as well as those of their competitors have been estimated in value, based on data from a market study related to the bazaar and destocking sectors conducted by the Xerfi institute and provided by the notifying party in support of its notification.</w:t>
      </w:r>
    </w:p>
    <w:p>
      <w:r>
        <w:t>39. In accordance with decision-making practice, the estimates of the position of the new entity and its competitors are indicated on a market for the distribution of bazaar and decoration products taking into account only the GSS in bazaar and decoration products, the GSS in personal and home equipment, and destockers (hereinafter, "restricted market"). Considering the position of the new entity in a conservative hypothesis allows measuring the competitive pressure exerted by its direct competitors, but does not take into account those of other operators that are nonetheless active in the market, namely GSA and certain furniture brands.</w:t>
      </w:r>
    </w:p>
    <w:p>
      <w:r>
        <w:t>40. In this case, the cumulative market share of the parties at the national level will not exceed [5-10]% in value on a restricted market.</w:t>
      </w:r>
    </w:p>
    <w:p>
      <w:r>
        <w:t>41. Furthermore, the new entity will be competing with several significant direct operators, some of which have market shares considerably higher than its own, notably Action (22.5%) and Gifi (20.4%). Many other direct competitors will also be active in the market, such as Foir’Fouille, Centrakor, B&amp;M, or Noz. Finally, the new entity will face competition from GSA and furniture brands that offer decoration and bazaar products and are positioned on low and medium prices.</w:t>
      </w:r>
    </w:p>
    <w:p>
      <w:r>
        <w:t>42. Consequently, the operation is not likely to harm competition in the French market for in-store sales of low and medium-priced bazaar and decoration products through horizontal effects.</w:t>
      </w:r>
    </w:p>
    <w:p>
      <w:r>
        <w:t>Online Sales</w:t>
      </w:r>
    </w:p>
    <w:p>
      <w:r>
        <w:t>43. The notifying party indicated that it did not have precise information on the value of online sales of low and medium-priced bazaar and decoration products in France and thus was unable to estimate its market share. However, online sales represent a very small part of its turnover and that of the target (respectively less than 10% and 1%). Furthermore, the new entity will face competition in this market from specialized online operators such as Amazon, Cdiscount, or La Redoute.</w:t>
      </w:r>
    </w:p>
    <w:p>
      <w:r>
        <w:t>44. The operation is therefore not likely to harm competition through horizontal effects at the national level regarding the online sale of low and medium-priced bazaar and decoration products.</w:t>
      </w:r>
    </w:p>
    <w:p>
      <w:r>
        <w:t>2. COMPETITIVE ANALYSIS AT THE LOCAL LEVEL</w:t>
      </w:r>
    </w:p>
    <w:p>
      <w:r>
        <w:t>45. The operation will allow the Zouari family to acquire 127 stores under the Stokomani brand in France.</w:t>
      </w:r>
    </w:p>
    <w:p>
      <w:r>
        <w:t>46. In order to assess whether a concentration operation is likely to harm competition in a market, the guidelines of the Competition Authority indicate that</w:t>
      </w:r>
    </w:p>
    <w:p>
      <w:r>
        <w:rPr>
          <w:b/>
        </w:rPr>
        <w:t>[Pages 10–12]</w:t>
      </w:r>
    </w:p>
    <w:p>
      <w:r>
        <w:t>the two criteria that can be examined: (i) the market shares of the new entity and (ii) the degree of market concentration16. These two criteria are assessed on a case-by-case basis by the Competition Authority depending on the characteristics and competitive structure of the analyzed markets.</w:t>
      </w:r>
    </w:p>
    <w:p>
      <w:r>
        <w:t>47. In order to assess the effects of the notified operation, the Competition Authority first conducted an analysis based on market shares. Consequently, in each of the examined catchment areas, the parties provided estimates of market shares in terms of sales area. These market shares were calculated as follows.</w:t>
      </w:r>
    </w:p>
    <w:p>
      <w:r>
        <w:t>48. Initially, given that all 127 stores of the target included in the scope of the acquisition are located outside of central Paris and outside of the DROM, isochrone areas corresponding to a travel time of 20 minutes by car from the target's points of sale were delineated. The determination of the isochrone areas led to the identification of 36 catchment areas, centered on the target's stores, in which the activities of the parties overlap.</w:t>
      </w:r>
    </w:p>
    <w:p>
      <w:r>
        <w:t>49. In these areas, the Authority chose a conservative approach consistent with decision-making practice17. It first studied the market shares in terms of sales area on a market limited to the closest competitors of the parties, namely the hypermarkets in bazaar and decoration products, the hypermarkets in home and personal equipment, and the discounters.</w:t>
      </w:r>
    </w:p>
    <w:p>
      <w:r>
        <w:t>50. The market shares were calculated based on the sales area of each store over 300 m², with the areas of hypermarkets in bazaar and decoration products, hypermarkets in home and personal equipment, and discounters being weighted to only account for the area dedicated to bazaar and decoration. This weighting was carried out based on data primarily provided by the notifying party.</w:t>
      </w:r>
    </w:p>
    <w:p>
      <w:r>
        <w:t>51. At the end of this calculation, the competitive analysis identified three types of catchment areas:</w:t>
        <w:br/>
        <w:t>- those in which the market share of the new entity is below 25% in a restricted market;</w:t>
        <w:br/>
        <w:t>- those in which the market share of the new entity is between 25% and 45% in a restricted market;</w:t>
        <w:br/>
        <w:t>- those in which the market share of the new entity is above 45% in a restricted market.</w:t>
      </w:r>
    </w:p>
    <w:p>
      <w:r>
        <w:t>52. Indeed, the Competition Authority has already considered several times, in the context of retail distribution, that a cumulative market share of the parties of 45% could justify a thorough examination of catchment areas18. In particular, the 45% threshold was used in decision no. 17-DCC-216 mentioned above. It should be noted that in this case, such a threshold is conservative since the market shares of the new entity were calculated on a market restricted to only the direct competitors of the new entity and not on the entire relevant market, on which the market shares of the new entity are lower.</w:t>
      </w:r>
    </w:p>
    <w:p>
      <w:r>
        <w:t>53. The market share of the new entity will be below 25% in 12 of the 36 catchment areas where an overlap is observed. Therefore, any risk of horizontal effect can be ruled out in these areas19.</w:t>
      </w:r>
    </w:p>
    <w:p>
      <w:r>
        <w:t>54. In 23 areas, the market share of the new entity will be between 25% and 45%. In these areas, the Authority conducted a supplementary analysis in terms of the number of competitors following the operation.</w:t>
      </w:r>
    </w:p>
    <w:p>
      <w:r>
        <w:t>55. In this case, in 22 of the 23 considered catchment areas, at least three hypermarkets in bazaar and decoration products will remain present in the area after the operation is completed.</w:t>
      </w:r>
    </w:p>
    <w:p>
      <w:r>
        <w:t>56. In the last catchment area concerned, that of Proville (59), the market share of the new entity will rise to a maximum of [40-50]%. Furthermore, the new entity will face a hypermarket in bazaar and decoration products with a market share of [30-40]%, a hypermarket in personal and home equipment with a market share of [5-10]%, and a discounter with a market share of [10-20]%.</w:t>
      </w:r>
    </w:p>
    <w:p>
      <w:r>
        <w:t>57. Thus, the operation is not likely to harm competition in the 23 areas where the market share of the parties after the operation is between 25% and 45%.</w:t>
      </w:r>
    </w:p>
    <w:p>
      <w:r>
        <w:t>58. In the area of Rillieux-la-Pape (69), the market share of the new entity will rise to a maximum of [40-50]%. In this area, the new entity will face competitive pressure from three hypermarkets in bazaar and decoration products and one hypermarket in personal and home equipment. Additionally, the new entity will also face competition from six supermarkets with a total sales area of over 6,000 m². However, as previously indicated, these stores exert competitive pressure on the parties. Therefore, the operation is not likely to harm competition in the area of Rillieux-la-Pape (69).</w:t>
      </w:r>
    </w:p>
    <w:p>
      <w:r>
        <w:t>***</w:t>
      </w:r>
    </w:p>
    <w:p>
      <w:r>
        <w:t>59. In light of the above, the Authority believes that the operation is not likely to harm competition.</w:t>
      </w:r>
    </w:p>
    <w:p>
      <w:r>
        <w:t>DECIDES</w:t>
        <w:br/>
        <w:t>Single Article: The operation notified under number 22-005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