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https://www.autoritedelaconcurrence.fr/fr/decision-de-controle-des-concentrations/relative-la-prise-de-controle-exclusif-du-groupe-sylpa-par</w:t>
      </w:r>
    </w:p>
    <w:p>
      <w:r>
        <w:t>Pages translated : 2</w:t>
      </w:r>
    </w:p>
    <w:p/>
    <w:p>
      <w:r>
        <w:rPr>
          <w:b/>
        </w:rPr>
        <w:t>[Pages 1–2]</w:t>
      </w:r>
    </w:p>
    <w:p>
      <w:r>
        <w:t xml:space="preserve">FRENCH REPUBLIC  </w:t>
        <w:br/>
        <w:t xml:space="preserve">Decision No. 24-DCC-256 of November 29, 2024  </w:t>
        <w:br/>
        <w:t xml:space="preserve">regarding the exclusive control acquisition of the Sylpa group  </w:t>
        <w:br/>
        <w:t xml:space="preserve">by the Fauché group  </w:t>
        <w:br/>
        <w:t>The Competition Authority,</w:t>
      </w:r>
    </w:p>
    <w:p>
      <w:r>
        <w:t xml:space="preserve">Having regard to the complete notification file sent to the mergers department on  </w:t>
        <w:br/>
        <w:t xml:space="preserve">November 12, 2024, concerning the exclusive control acquisition of the Sylpa group by the Fauché group,  </w:t>
        <w:br/>
        <w:t>formalized by a purchase promise signed on October 31, 2024;</w:t>
      </w:r>
    </w:p>
    <w:p>
      <w:r>
        <w:t xml:space="preserve">Having regard to Book IV of the Commercial Code relating to the freedom of prices and competition, and  </w:t>
        <w:br/>
        <w:t>notably its Articles L. 430-1 to L. 430-7;</w:t>
      </w:r>
    </w:p>
    <w:p>
      <w:r>
        <w:t xml:space="preserve">Adopts the following decision:  </w:t>
        <w:br/>
        <w:t xml:space="preserve">1. The notified operation consists of the acquisition by the company Une Investissement, which holds  </w:t>
        <w:br/>
        <w:t xml:space="preserve">directly and indirectly all the operational companies of the Fauché group, of the entirety of the shares and voting rights of the company Sylpa Holding, the parent company of the Sylpa group, which is active in the electrical engineering sector. The operation constitutes a concentration within the meaning of Article L. 430-1 of the Commercial Code. Given the turnover achieved by the companies concerned,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24-289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