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https://www.autoritedelaconcurrence.fr/fr/decision-de-controle-des-concentrations/relative-la-prise-de-controle-exclusif-du-groupe-synchrone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23-DCC-230 of November 28, 2023</w:t>
        <w:br/>
        <w:t>regarding the exclusive control acquisition of the Synchrone group by</w:t>
        <w:br/>
        <w:t>Naxicap Partners</w:t>
        <w:br/>
        <w:t>The Competition Authority,</w:t>
        <w:br/>
        <w:t>Having regard to the notification file submitted in full to the mergers department on</w:t>
        <w:br/>
        <w:t>November 13, 2023, concerning the exclusive control acquisition of the Synchrone group by Naxicap</w:t>
        <w:br/>
        <w:t>Partners, formalized by a share transfer agreement under suspensive conditions dated September 26,</w:t>
        <w:br/>
        <w:t>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Naxicap Partners of the Synchrone</w:t>
        <w:br/>
        <w:t>group, active in the IT services sector. The operation constitutes a</w:t>
        <w:br/>
        <w:t>concentration within the meaning of Article L. 430-1 of the Commercial Code. Given the turnover</w:t>
        <w:br/>
        <w:t>achieved by the companies concerned, the operation does not fall under the jurisdiction of</w:t>
        <w:br/>
        <w:t>the European Union. On the other hand, the control thresholds mentioned in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23-265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