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https://www.autoritedelaconcurrence.fr/fr/decision-de-controle-des-concentrations/relative-la-prise-de-controle-exclusif-du-groupe-synov-par</w:t>
      </w:r>
    </w:p>
    <w:p>
      <w:r>
        <w:t>Pages translated : 2</w:t>
      </w:r>
    </w:p>
    <w:p/>
    <w:p>
      <w:r>
        <w:rPr>
          <w:b/>
        </w:rPr>
        <w:t>[Pages 1–2]</w:t>
      </w:r>
    </w:p>
    <w:p>
      <w:r>
        <w:t xml:space="preserve">FRENCH REPUBLIC  </w:t>
        <w:br/>
        <w:t xml:space="preserve">Decision No. 23-DCC-174 of August 25, 2023  </w:t>
        <w:br/>
        <w:t xml:space="preserve">regarding the exclusive control of the Synov group by the company  </w:t>
        <w:br/>
        <w:t xml:space="preserve">Sagard  </w:t>
        <w:br/>
        <w:t xml:space="preserve">The Competition Authority,  </w:t>
        <w:br/>
        <w:t xml:space="preserve">Having regard to the complete notification file sent to the mergers department on August 9, 2023,  </w:t>
        <w:br/>
        <w:t xml:space="preserve">concerning the exclusive control by the company Sagard of the company Synov and all its  </w:t>
        <w:br/>
        <w:t xml:space="preserve">subsidiaries, formalized by the purchase agreement of July 3,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by the company Sagard, of the Synov group. Synov is active in the design, industrialization, and manufacturing of electronic systems. The operation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23-189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