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https://www.autoritedelaconcurrence.fr/fr/decision-de-controle-des-concentrations/relative-la-prise-de-controle-exclusif-du-groupe-tara</w:t>
      </w:r>
    </w:p>
    <w:p>
      <w:r>
        <w:t>Pages translated : 2</w:t>
      </w:r>
    </w:p>
    <w:p/>
    <w:p>
      <w:r>
        <w:rPr>
          <w:b/>
        </w:rPr>
        <w:t>[Pages 1–2]</w:t>
      </w:r>
    </w:p>
    <w:p>
      <w:r>
        <w:t xml:space="preserve">FRENCH REPUBLIC  </w:t>
        <w:br/>
        <w:t xml:space="preserve">Decision No. 19-DCC-260 of December 26, 2019  </w:t>
        <w:br/>
        <w:t xml:space="preserve">regarding the exclusive control acquisition of the Tara Jarmon group by the  </w:t>
        <w:br/>
        <w:t xml:space="preserve">Zapa group  </w:t>
        <w:br/>
        <w:t xml:space="preserve">The Competition Authority,  </w:t>
        <w:br/>
        <w:t xml:space="preserve">Having regard to the notification file sent to the mergers department on November 25, 2019, concerning  </w:t>
        <w:br/>
        <w:t xml:space="preserve">the exclusive control acquisition of the Tara Jarmon group by the Zapa group, formalized by a  </w:t>
        <w:br/>
        <w:t xml:space="preserve">conciliation protocol dated November 22, 2019;  </w:t>
        <w:br/>
        <w:t xml:space="preserve">Having regard to the additional elements submitted by the notifying party during the investigation;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Tara Jarmon group by the  </w:t>
        <w:br/>
        <w:t xml:space="preserve">Zapa group. It constitutes a concentration within the meaning of Article L. 430-1 of the Commercial Code.  </w:t>
        <w:br/>
        <w:t xml:space="preserve">Given the turnover achieved by the concerned companies, the operation does not fall under the jurisdiction of the European Union.  </w:t>
        <w:br/>
        <w:t xml:space="preserve">On the other hand, the control thresholds related to retail trade mentioned in II of Article L. 430-2 of the Commercial Code are exceeded.  </w:t>
        <w:br/>
        <w:t xml:space="preserve">This operation is therefore subject to the provisions of Articles L. 430-3 and following of the Commercial Code relating to economic concentration.  </w:t>
        <w:br/>
        <w:t xml:space="preserve">2. The markets primarily concerned by the operation are those of the retail distribution of clothing, which are consistently defined by the decision-making practice of the Competition Authority.  </w:t>
        <w:br/>
        <w:t xml:space="preserve">3. Regardless of the segmentation considered,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Single Article: The operation notified under number 19-316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