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https://www.autoritedelaconcurrence.fr/fr/decision-de-controle-des-concentrations/relative-la-prise-de-controle-exclusif-du-groupe-tc-concept</w:t>
      </w:r>
    </w:p>
    <w:p>
      <w:r>
        <w:t>Pages translated : 2</w:t>
      </w:r>
    </w:p>
    <w:p/>
    <w:p>
      <w:r>
        <w:rPr>
          <w:b/>
        </w:rPr>
        <w:t>[Pages 1–2]</w:t>
      </w:r>
    </w:p>
    <w:p>
      <w:r>
        <w:t xml:space="preserve">FRENCH REPUBLIC  </w:t>
        <w:br/>
        <w:t xml:space="preserve">Decision No. 22-DCC-112 of June 24, 2022  </w:t>
        <w:br/>
        <w:t xml:space="preserve">regarding the exclusive control of the TC Concept group by  </w:t>
        <w:br/>
        <w:t xml:space="preserve">Montefiore Investment  </w:t>
        <w:br/>
        <w:t xml:space="preserve">The Competition Authority,  </w:t>
        <w:br/>
        <w:t xml:space="preserve">Having regard to the complete notification file submitted to the mergers department on June 9, 2022, concerning the exclusive control by Montefiore Investment of the TC Concept group, formalized by a transfer protocol dated May 6, 2022;  </w:t>
        <w:br/>
        <w:t xml:space="preserve">Having regard to Book IV of the Commercial Code relating to the freedom of prices and competition, and in particular its Articles L. 430-1 to L. 430-7;  </w:t>
        <w:br/>
        <w:t xml:space="preserve">Having regard to the elements provided by the notifying parties during the investigation;  </w:t>
        <w:br/>
        <w:t xml:space="preserve">Adopts the following decision:  </w:t>
        <w:br/>
        <w:t xml:space="preserve">1. The notified operation consists of the exclusive control by Montefiore Investment of the company Marot TC and its wholly-owned subsidiary, the company TC Concept, which together constitute the TC Concept group, specialized in the distribution to professionals of plumbing and piping parts made of steel and aluminum intended for the transport and control of fluids. This operation constitutes a concentration operation within the meaning of Article L. 430-1 of the Commercial Code. Given the revenues generated by the companies concerned, the operation does not fall under the jurisdiction of the European Union. However, the relevant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22-108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